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57" w:rsidRDefault="00F90457" w:rsidP="00774168">
      <w:pPr>
        <w:ind w:firstLine="709"/>
      </w:pPr>
    </w:p>
    <w:p w:rsidR="00F90457" w:rsidRDefault="00F90457" w:rsidP="00774168">
      <w:pPr>
        <w:pStyle w:val="20"/>
        <w:shd w:val="clear" w:color="auto" w:fill="auto"/>
        <w:tabs>
          <w:tab w:val="left" w:pos="12916"/>
        </w:tabs>
        <w:spacing w:line="240" w:lineRule="auto"/>
        <w:ind w:left="12616"/>
      </w:pPr>
      <w:r>
        <w:t>Проект</w:t>
      </w:r>
    </w:p>
    <w:p w:rsidR="00F90457" w:rsidRDefault="00F90457" w:rsidP="00774168">
      <w:pPr>
        <w:pStyle w:val="20"/>
        <w:shd w:val="clear" w:color="auto" w:fill="auto"/>
        <w:tabs>
          <w:tab w:val="left" w:pos="12916"/>
        </w:tabs>
        <w:spacing w:line="240" w:lineRule="auto"/>
        <w:ind w:left="12616"/>
      </w:pPr>
    </w:p>
    <w:p w:rsidR="00F90457" w:rsidRDefault="00F90457" w:rsidP="00774168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</w:pPr>
      <w:bookmarkStart w:id="0" w:name="bookmark1"/>
      <w:r>
        <w:t>План мероприятий («дорожная карта») по внедрению в Курской области целевой модели</w:t>
      </w:r>
      <w:r>
        <w:br/>
        <w:t>«Осуществление контрольно-надзорной деятельности в Курской области»</w:t>
      </w:r>
      <w:bookmarkEnd w:id="0"/>
    </w:p>
    <w:p w:rsidR="00F90457" w:rsidRDefault="00F90457" w:rsidP="00774168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F90457" w:rsidRDefault="00F90457" w:rsidP="00774168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</w:pPr>
      <w:bookmarkStart w:id="1" w:name="bookmark2"/>
      <w:r w:rsidRPr="009321B2">
        <w:t>I.</w:t>
      </w:r>
      <w:r>
        <w:t xml:space="preserve"> Общие положения</w:t>
      </w:r>
      <w:bookmarkEnd w:id="1"/>
    </w:p>
    <w:p w:rsidR="00F90457" w:rsidRDefault="00F90457" w:rsidP="00774168">
      <w:pPr>
        <w:pStyle w:val="10"/>
        <w:keepNext/>
        <w:keepLines/>
        <w:shd w:val="clear" w:color="auto" w:fill="auto"/>
        <w:spacing w:before="0" w:line="240" w:lineRule="auto"/>
        <w:ind w:firstLine="709"/>
        <w:jc w:val="center"/>
      </w:pPr>
    </w:p>
    <w:p w:rsidR="00F90457" w:rsidRDefault="00F90457" w:rsidP="00774168">
      <w:pPr>
        <w:pStyle w:val="20"/>
        <w:shd w:val="clear" w:color="auto" w:fill="auto"/>
        <w:tabs>
          <w:tab w:val="left" w:pos="1469"/>
        </w:tabs>
        <w:spacing w:line="240" w:lineRule="auto"/>
        <w:ind w:firstLine="709"/>
        <w:jc w:val="both"/>
      </w:pPr>
      <w:proofErr w:type="gramStart"/>
      <w:r>
        <w:t xml:space="preserve">План мероприятий («дорожная карта») по внедрению в Курской области целевой модели «Осуществление контрольно-надзорной деятельности в Курской области» (далее - «дорожная карта») разработан в целях исполнения пункта 3 Перечня поручений Президента Российской Федерации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от 12 ноября 2016 года № Пр-2347ГС, реализации </w:t>
      </w:r>
      <w:r w:rsidRPr="00C970D5">
        <w:t>План</w:t>
      </w:r>
      <w:r>
        <w:t>а</w:t>
      </w:r>
      <w:r w:rsidRPr="00C970D5">
        <w:t xml:space="preserve"> мероприятий («дорожн</w:t>
      </w:r>
      <w:r>
        <w:t>ой</w:t>
      </w:r>
      <w:r w:rsidRPr="00C970D5">
        <w:t xml:space="preserve"> карт</w:t>
      </w:r>
      <w:r>
        <w:t>ы</w:t>
      </w:r>
      <w:r w:rsidRPr="00C970D5">
        <w:t>») по совершенствованию</w:t>
      </w:r>
      <w:proofErr w:type="gramEnd"/>
      <w:r w:rsidRPr="00C970D5">
        <w:t xml:space="preserve"> </w:t>
      </w:r>
      <w:proofErr w:type="gramStart"/>
      <w:r w:rsidRPr="00C970D5">
        <w:t>контрольно–надзорной деятельности в Российской Федерации на 2016-2017 годы</w:t>
      </w:r>
      <w:r>
        <w:t>, утвержденного</w:t>
      </w:r>
      <w:r w:rsidRPr="00C970D5">
        <w:t xml:space="preserve"> Распоряжение</w:t>
      </w:r>
      <w:r>
        <w:t>м</w:t>
      </w:r>
      <w:r w:rsidRPr="00C970D5">
        <w:t xml:space="preserve"> Правительства Р</w:t>
      </w:r>
      <w:r>
        <w:t xml:space="preserve">оссийской </w:t>
      </w:r>
      <w:r w:rsidRPr="00C970D5">
        <w:t>Ф</w:t>
      </w:r>
      <w:r>
        <w:t>едерации от 01.04.2016 № 559-р,</w:t>
      </w:r>
      <w:r w:rsidRPr="00C970D5">
        <w:t xml:space="preserve"> </w:t>
      </w:r>
      <w:r>
        <w:t>организации внедрения базовых подходов по</w:t>
      </w:r>
      <w:r w:rsidRPr="00C970D5">
        <w:t xml:space="preserve"> реформировани</w:t>
      </w:r>
      <w:r>
        <w:t>ю</w:t>
      </w:r>
      <w:r w:rsidRPr="00C970D5">
        <w:t xml:space="preserve"> контрольно-надзорной деятельности</w:t>
      </w:r>
      <w:r>
        <w:t>, утвержденных</w:t>
      </w:r>
      <w:r w:rsidRPr="00C970D5">
        <w:t xml:space="preserve"> протокол</w:t>
      </w:r>
      <w:r>
        <w:t>ом</w:t>
      </w:r>
      <w:r w:rsidRPr="00C970D5">
        <w:t xml:space="preserve"> заседания президиума Совета при Президенте Р</w:t>
      </w:r>
      <w:r>
        <w:t xml:space="preserve">оссийской </w:t>
      </w:r>
      <w:r w:rsidRPr="00C970D5">
        <w:t>Ф</w:t>
      </w:r>
      <w:r>
        <w:t>едерации</w:t>
      </w:r>
      <w:r w:rsidRPr="00C970D5">
        <w:t xml:space="preserve"> по стратегическому развитию и приоритетным проектам от 19.10.2016 № 8</w:t>
      </w:r>
      <w:r>
        <w:t xml:space="preserve"> положений паспорта приоритетной программы «Реформа контрольной и надзорной деятельности», утвержденного протоколом заседания президиума Совета при Президенте Российской Федерации</w:t>
      </w:r>
      <w:proofErr w:type="gramEnd"/>
      <w:r>
        <w:t xml:space="preserve"> </w:t>
      </w:r>
      <w:proofErr w:type="gramStart"/>
      <w:r>
        <w:t>по стратегическому развитию и приоритетным проектам 21 декабря 2016 года № 12, исполнения Распоряжения Правительства Российской Федерации от 31.01.2017 № 147-р, которым утверждены целевые модели упрощения процедур ведения бизнеса и повышения инвестиционной привлекательности субъектов Российской Федерации, с применением Методических рекомендаций по внедрению в субъектах Российской Федерации целевых моделей и формированию критериев оценки достижения показателей, установленных в целевых моделях, территориальными органами федеральных органов</w:t>
      </w:r>
      <w:proofErr w:type="gramEnd"/>
      <w:r>
        <w:t xml:space="preserve"> исполнительной власти Российской Федерации, органов исполнительной власти субъектов Российской Федерации и органами местного самоуправления, утверждённых 31 января 2017 года</w:t>
      </w:r>
      <w:proofErr w:type="gramStart"/>
      <w:r>
        <w:t xml:space="preserve"> П</w:t>
      </w:r>
      <w:proofErr w:type="gramEnd"/>
      <w:r>
        <w:t>ервым заместителем Председателя Правительства Российской Федерации.</w:t>
      </w:r>
    </w:p>
    <w:p w:rsidR="00F90457" w:rsidRDefault="00F90457" w:rsidP="007741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данной «дорожной карты» позволит уже в 2017 году: </w:t>
      </w:r>
    </w:p>
    <w:p w:rsidR="00F90457" w:rsidRDefault="00F90457" w:rsidP="00774168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</w:t>
      </w:r>
      <w:r w:rsidRPr="001231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2310F">
        <w:rPr>
          <w:rFonts w:ascii="Times New Roman" w:hAnsi="Times New Roman" w:cs="Times New Roman"/>
          <w:sz w:val="28"/>
          <w:szCs w:val="28"/>
        </w:rPr>
        <w:t>ормативное правовое регулирование организации и проведения государственного контроля (надзора) и совершенствование процессуальных форм и процедур осуществления мероприятий по контролю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57" w:rsidRDefault="00F90457" w:rsidP="00774168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раскрытие, с</w:t>
      </w:r>
      <w:r w:rsidRPr="001B4831">
        <w:rPr>
          <w:rFonts w:ascii="Times New Roman" w:hAnsi="Times New Roman" w:cs="Times New Roman"/>
          <w:sz w:val="28"/>
          <w:szCs w:val="28"/>
        </w:rPr>
        <w:t>истематизаци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4831">
        <w:rPr>
          <w:rFonts w:ascii="Times New Roman" w:hAnsi="Times New Roman" w:cs="Times New Roman"/>
          <w:sz w:val="28"/>
          <w:szCs w:val="28"/>
        </w:rPr>
        <w:t xml:space="preserve"> и актуализаци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4831">
        <w:rPr>
          <w:rFonts w:ascii="Times New Roman" w:hAnsi="Times New Roman" w:cs="Times New Roman"/>
          <w:sz w:val="28"/>
          <w:szCs w:val="28"/>
        </w:rPr>
        <w:t xml:space="preserve"> обязательных требований, соблюдение которых оценивается при проведении мероприятий по контролю, включая исключение устаревших, дублирующих и избыточных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57" w:rsidRPr="001B4831" w:rsidRDefault="00F90457" w:rsidP="00774168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у</w:t>
      </w:r>
      <w:r w:rsidRPr="0012310F">
        <w:rPr>
          <w:rFonts w:ascii="Times New Roman" w:hAnsi="Times New Roman" w:cs="Times New Roman"/>
          <w:sz w:val="28"/>
          <w:szCs w:val="28"/>
        </w:rPr>
        <w:t>чет подконтрольных субъектов (объектов) и истории их проверок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57" w:rsidRPr="001B4831" w:rsidRDefault="00F90457" w:rsidP="00774168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31">
        <w:rPr>
          <w:rFonts w:ascii="Times New Roman" w:hAnsi="Times New Roman" w:cs="Times New Roman"/>
          <w:sz w:val="28"/>
          <w:szCs w:val="28"/>
        </w:rPr>
        <w:t>Внедри</w:t>
      </w:r>
      <w:r>
        <w:rPr>
          <w:rFonts w:ascii="Times New Roman" w:hAnsi="Times New Roman" w:cs="Times New Roman"/>
          <w:sz w:val="28"/>
          <w:szCs w:val="28"/>
        </w:rPr>
        <w:t xml:space="preserve">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пилотном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1B4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B4831">
        <w:rPr>
          <w:rFonts w:ascii="Times New Roman" w:hAnsi="Times New Roman" w:cs="Times New Roman"/>
          <w:sz w:val="28"/>
          <w:szCs w:val="28"/>
        </w:rPr>
        <w:t>риск-ориентированн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proofErr w:type="gramEnd"/>
      <w:r w:rsidRPr="001B4831">
        <w:rPr>
          <w:rFonts w:ascii="Times New Roman" w:hAnsi="Times New Roman" w:cs="Times New Roman"/>
          <w:sz w:val="28"/>
          <w:szCs w:val="28"/>
        </w:rPr>
        <w:t xml:space="preserve"> подход при организации и проведении контрольно-надзорных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для приоритетных видов контроля и отдельных элементов такого подхода для всех видов регионального контроля.</w:t>
      </w:r>
    </w:p>
    <w:p w:rsidR="00F90457" w:rsidRDefault="00F90457" w:rsidP="00774168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4831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1B4831">
        <w:rPr>
          <w:rFonts w:ascii="Times New Roman" w:hAnsi="Times New Roman" w:cs="Times New Roman"/>
          <w:sz w:val="28"/>
          <w:szCs w:val="28"/>
        </w:rPr>
        <w:t xml:space="preserve"> и внедри</w:t>
      </w:r>
      <w:r>
        <w:rPr>
          <w:rFonts w:ascii="Times New Roman" w:hAnsi="Times New Roman" w:cs="Times New Roman"/>
          <w:sz w:val="28"/>
          <w:szCs w:val="28"/>
        </w:rPr>
        <w:t>ть</w:t>
      </w:r>
      <w:proofErr w:type="gramEnd"/>
      <w:r w:rsidRPr="001B4831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B4831">
        <w:rPr>
          <w:rFonts w:ascii="Times New Roman" w:hAnsi="Times New Roman" w:cs="Times New Roman"/>
          <w:sz w:val="28"/>
          <w:szCs w:val="28"/>
        </w:rPr>
        <w:t xml:space="preserve"> оценки результативности и эффективности контрольно-надзорных органов</w:t>
      </w:r>
      <w:r>
        <w:rPr>
          <w:rFonts w:ascii="Times New Roman" w:hAnsi="Times New Roman" w:cs="Times New Roman"/>
          <w:sz w:val="28"/>
          <w:szCs w:val="28"/>
        </w:rPr>
        <w:t xml:space="preserve"> для приоритетных видов контроля.</w:t>
      </w:r>
    </w:p>
    <w:p w:rsidR="00F90457" w:rsidRDefault="00F90457" w:rsidP="00774168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0F">
        <w:rPr>
          <w:rFonts w:ascii="Times New Roman" w:hAnsi="Times New Roman" w:cs="Times New Roman"/>
          <w:sz w:val="28"/>
          <w:szCs w:val="28"/>
        </w:rPr>
        <w:t>Внедрить информационное обеспечение контрольно-надзорной деятельности и развить информационные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457" w:rsidRPr="0012310F" w:rsidRDefault="00F90457" w:rsidP="00774168">
      <w:pPr>
        <w:pStyle w:val="ConsPlusNonformat"/>
        <w:numPr>
          <w:ilvl w:val="0"/>
          <w:numId w:val="2"/>
        </w:numPr>
        <w:tabs>
          <w:tab w:val="left" w:pos="567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0F">
        <w:rPr>
          <w:rFonts w:ascii="Times New Roman" w:hAnsi="Times New Roman" w:cs="Times New Roman"/>
          <w:sz w:val="28"/>
          <w:szCs w:val="28"/>
        </w:rPr>
        <w:t xml:space="preserve">Организовать на систематической основе взаимодействие региональных органов контроля с территориальными отделениями федеральных органов исполнительной власти и </w:t>
      </w:r>
      <w:proofErr w:type="spellStart"/>
      <w:proofErr w:type="gramStart"/>
      <w:r w:rsidRPr="0012310F">
        <w:rPr>
          <w:rFonts w:ascii="Times New Roman" w:hAnsi="Times New Roman" w:cs="Times New Roman"/>
          <w:sz w:val="28"/>
          <w:szCs w:val="28"/>
        </w:rPr>
        <w:t>бизнес-объединениями</w:t>
      </w:r>
      <w:proofErr w:type="spellEnd"/>
      <w:proofErr w:type="gramEnd"/>
      <w:r w:rsidRPr="0012310F">
        <w:rPr>
          <w:rFonts w:ascii="Times New Roman" w:hAnsi="Times New Roman" w:cs="Times New Roman"/>
          <w:sz w:val="28"/>
          <w:szCs w:val="28"/>
        </w:rPr>
        <w:t xml:space="preserve"> и усовершенствовать </w:t>
      </w:r>
      <w:r>
        <w:rPr>
          <w:rFonts w:ascii="Times New Roman" w:hAnsi="Times New Roman" w:cs="Times New Roman"/>
          <w:sz w:val="28"/>
          <w:szCs w:val="28"/>
        </w:rPr>
        <w:t>межведомственное взаимодействие.</w:t>
      </w:r>
    </w:p>
    <w:p w:rsidR="00F90457" w:rsidRPr="000B743B" w:rsidRDefault="00F90457" w:rsidP="00347065">
      <w:pPr>
        <w:pStyle w:val="ConsPlusNonformat"/>
        <w:tabs>
          <w:tab w:val="left" w:pos="567"/>
          <w:tab w:val="left" w:pos="851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90457" w:rsidRPr="00347065" w:rsidRDefault="00F90457" w:rsidP="006B0E7A">
      <w:pPr>
        <w:pStyle w:val="20"/>
        <w:shd w:val="clear" w:color="auto" w:fill="auto"/>
        <w:tabs>
          <w:tab w:val="left" w:pos="1469"/>
        </w:tabs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9321B2">
        <w:rPr>
          <w:b/>
          <w:bCs/>
        </w:rPr>
        <w:t>. Целевы</w:t>
      </w:r>
      <w:r w:rsidRPr="00347065">
        <w:rPr>
          <w:b/>
          <w:bCs/>
        </w:rPr>
        <w:t>е показатели</w:t>
      </w:r>
    </w:p>
    <w:tbl>
      <w:tblPr>
        <w:tblW w:w="14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"/>
        <w:gridCol w:w="11246"/>
        <w:gridCol w:w="1266"/>
        <w:gridCol w:w="1541"/>
      </w:tblGrid>
      <w:tr w:rsidR="00F90457" w:rsidRPr="00347065">
        <w:trPr>
          <w:jc w:val="center"/>
        </w:trPr>
        <w:tc>
          <w:tcPr>
            <w:tcW w:w="574" w:type="dxa"/>
          </w:tcPr>
          <w:p w:rsidR="00F90457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 w:rsidRPr="006A1D1E">
              <w:rPr>
                <w:lang w:val="en-US" w:eastAsia="en-US"/>
              </w:rPr>
              <w:t>n</w:t>
            </w:r>
            <w:r w:rsidRPr="009321B2">
              <w:rPr>
                <w:lang w:eastAsia="en-US"/>
              </w:rPr>
              <w:t>/</w:t>
            </w:r>
            <w:r w:rsidRPr="006A1D1E">
              <w:rPr>
                <w:lang w:val="en-US" w:eastAsia="en-US"/>
              </w:rPr>
              <w:t>n</w:t>
            </w:r>
          </w:p>
        </w:tc>
        <w:tc>
          <w:tcPr>
            <w:tcW w:w="1124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 w:rsidRPr="009321B2">
              <w:rPr>
                <w:lang w:eastAsia="en-US"/>
              </w:rPr>
              <w:t>Целевы</w:t>
            </w:r>
            <w:r>
              <w:rPr>
                <w:lang w:eastAsia="en-US"/>
              </w:rPr>
              <w:t>е показатели</w:t>
            </w:r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текущие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1"/>
              </w:tabs>
              <w:spacing w:line="240" w:lineRule="auto"/>
              <w:ind w:left="-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31.12.2017г. </w:t>
            </w:r>
          </w:p>
        </w:tc>
      </w:tr>
      <w:tr w:rsidR="00F90457" w:rsidRPr="00347065">
        <w:trPr>
          <w:jc w:val="center"/>
        </w:trPr>
        <w:tc>
          <w:tcPr>
            <w:tcW w:w="574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246" w:type="dxa"/>
          </w:tcPr>
          <w:p w:rsidR="00F90457" w:rsidRPr="006A1D1E" w:rsidRDefault="00F90457" w:rsidP="006A1D1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Доля принятых порядков (положений) о видах государственного контроля (надзора)</w:t>
            </w:r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34,78%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90457" w:rsidRPr="00347065">
        <w:trPr>
          <w:trHeight w:val="496"/>
          <w:jc w:val="center"/>
        </w:trPr>
        <w:tc>
          <w:tcPr>
            <w:tcW w:w="574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246" w:type="dxa"/>
          </w:tcPr>
          <w:p w:rsidR="00F90457" w:rsidRPr="006A1D1E" w:rsidRDefault="00F90457" w:rsidP="006A1D1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Доля видов государственного контроля (надзора), по которым приняты административные регламенты</w:t>
            </w:r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90457" w:rsidRPr="00347065">
        <w:trPr>
          <w:jc w:val="center"/>
        </w:trPr>
        <w:tc>
          <w:tcPr>
            <w:tcW w:w="574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246" w:type="dxa"/>
          </w:tcPr>
          <w:p w:rsidR="00F90457" w:rsidRPr="006A1D1E" w:rsidRDefault="00F90457" w:rsidP="006A1D1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Доля видов государственного контроля (надзора), по которым ведется работа по раскрытию обязательных требований, а также их систематизации и актуализации (</w:t>
            </w:r>
            <w:proofErr w:type="gramStart"/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утверждены и размещены</w:t>
            </w:r>
            <w:proofErr w:type="gramEnd"/>
            <w:r w:rsidRPr="006A1D1E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официальных сайтах органов государственного контроля перечни актов, содержащие обязательные требования по проведению контроля)</w:t>
            </w:r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90457" w:rsidRPr="00347065">
        <w:trPr>
          <w:jc w:val="center"/>
        </w:trPr>
        <w:tc>
          <w:tcPr>
            <w:tcW w:w="574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46" w:type="dxa"/>
          </w:tcPr>
          <w:p w:rsidR="00F90457" w:rsidRPr="006A1D1E" w:rsidRDefault="00F90457" w:rsidP="006A1D1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Доля видов государственного контроля (надзора), по которым ведется учет всех подконтрольных субъектов, а также история проведения проверок</w:t>
            </w:r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95,65%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90457" w:rsidRPr="00347065">
        <w:trPr>
          <w:jc w:val="center"/>
        </w:trPr>
        <w:tc>
          <w:tcPr>
            <w:tcW w:w="574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246" w:type="dxa"/>
          </w:tcPr>
          <w:p w:rsidR="00F90457" w:rsidRPr="006A1D1E" w:rsidRDefault="00F90457" w:rsidP="006A1D1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 xml:space="preserve">Доля видов государственного контроля (надзора), в отношении которых применяется (в т.ч. в </w:t>
            </w:r>
            <w:proofErr w:type="spellStart"/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пилотном</w:t>
            </w:r>
            <w:proofErr w:type="spellEnd"/>
            <w:r w:rsidRPr="006A1D1E">
              <w:rPr>
                <w:rFonts w:ascii="Times New Roman" w:hAnsi="Times New Roman" w:cs="Times New Roman"/>
                <w:sz w:val="28"/>
                <w:szCs w:val="28"/>
              </w:rPr>
              <w:t xml:space="preserve"> режиме) </w:t>
            </w:r>
            <w:proofErr w:type="spellStart"/>
            <w:proofErr w:type="gramStart"/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риск-ориентированный</w:t>
            </w:r>
            <w:proofErr w:type="spellEnd"/>
            <w:proofErr w:type="gramEnd"/>
            <w:r w:rsidRPr="006A1D1E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90457" w:rsidRPr="00347065">
        <w:trPr>
          <w:jc w:val="center"/>
        </w:trPr>
        <w:tc>
          <w:tcPr>
            <w:tcW w:w="574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246" w:type="dxa"/>
          </w:tcPr>
          <w:p w:rsidR="00F90457" w:rsidRPr="006A1D1E" w:rsidRDefault="00F90457" w:rsidP="006A1D1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Доля видов государственного контроля (надзора)</w:t>
            </w:r>
            <w:r w:rsidRPr="006A1D1E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в </w:t>
            </w: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отношении которых внедрена система оценки эффективности деятельности контрольно-надзорных органов</w:t>
            </w:r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4,35%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90457" w:rsidRPr="00347065">
        <w:trPr>
          <w:jc w:val="center"/>
        </w:trPr>
        <w:tc>
          <w:tcPr>
            <w:tcW w:w="574" w:type="dxa"/>
          </w:tcPr>
          <w:p w:rsidR="00F90457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1246" w:type="dxa"/>
          </w:tcPr>
          <w:p w:rsidR="00F90457" w:rsidRPr="006A1D1E" w:rsidRDefault="00F90457" w:rsidP="006A1D1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Доля видов государственного надзора, для обеспечения которого используется специально разработанное программное обеспечение</w:t>
            </w:r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34,78%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F90457" w:rsidRPr="00347065">
        <w:trPr>
          <w:jc w:val="center"/>
        </w:trPr>
        <w:tc>
          <w:tcPr>
            <w:tcW w:w="574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246" w:type="dxa"/>
          </w:tcPr>
          <w:p w:rsidR="00F90457" w:rsidRPr="006A1D1E" w:rsidRDefault="00F90457" w:rsidP="006A1D1E">
            <w:pPr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D1E">
              <w:rPr>
                <w:rFonts w:ascii="Times New Roman" w:hAnsi="Times New Roman" w:cs="Times New Roman"/>
                <w:sz w:val="28"/>
                <w:szCs w:val="28"/>
              </w:rPr>
              <w:t xml:space="preserve">Доля видов государственного контроля (надзора), по которым организована систематическая работа с территориальными отделениями федеральных органов исполнительной власти и </w:t>
            </w:r>
            <w:proofErr w:type="spellStart"/>
            <w:proofErr w:type="gramStart"/>
            <w:r w:rsidRPr="006A1D1E">
              <w:rPr>
                <w:rFonts w:ascii="Times New Roman" w:hAnsi="Times New Roman" w:cs="Times New Roman"/>
                <w:sz w:val="28"/>
                <w:szCs w:val="28"/>
              </w:rPr>
              <w:t>бизнес-объединениями</w:t>
            </w:r>
            <w:proofErr w:type="spellEnd"/>
            <w:proofErr w:type="gramEnd"/>
          </w:p>
        </w:tc>
        <w:tc>
          <w:tcPr>
            <w:tcW w:w="1266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34,78%</w:t>
            </w:r>
          </w:p>
        </w:tc>
        <w:tc>
          <w:tcPr>
            <w:tcW w:w="1541" w:type="dxa"/>
          </w:tcPr>
          <w:p w:rsidR="00F90457" w:rsidRPr="00347065" w:rsidRDefault="00F90457" w:rsidP="006A1D1E">
            <w:pPr>
              <w:pStyle w:val="20"/>
              <w:widowControl/>
              <w:shd w:val="clear" w:color="auto" w:fill="auto"/>
              <w:tabs>
                <w:tab w:val="left" w:pos="1469"/>
              </w:tabs>
              <w:spacing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</w:tbl>
    <w:p w:rsidR="00F90457" w:rsidRPr="006B0DCA" w:rsidRDefault="00F90457" w:rsidP="00774168">
      <w:pPr>
        <w:pStyle w:val="20"/>
        <w:shd w:val="clear" w:color="auto" w:fill="auto"/>
        <w:tabs>
          <w:tab w:val="left" w:pos="1469"/>
        </w:tabs>
        <w:spacing w:line="240" w:lineRule="auto"/>
        <w:ind w:firstLine="709"/>
        <w:jc w:val="both"/>
        <w:rPr>
          <w:sz w:val="20"/>
          <w:szCs w:val="20"/>
        </w:rPr>
      </w:pPr>
    </w:p>
    <w:p w:rsidR="00F90457" w:rsidRPr="00A34EC1" w:rsidRDefault="00F90457" w:rsidP="00A34EC1">
      <w:pPr>
        <w:pStyle w:val="20"/>
        <w:shd w:val="clear" w:color="auto" w:fill="auto"/>
        <w:tabs>
          <w:tab w:val="left" w:pos="1469"/>
        </w:tabs>
        <w:spacing w:line="240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 w:rsidRPr="009321B2">
        <w:rPr>
          <w:b/>
          <w:bCs/>
        </w:rPr>
        <w:t xml:space="preserve">. Перечень мероприятий по реализации </w:t>
      </w:r>
      <w:r>
        <w:rPr>
          <w:b/>
          <w:bCs/>
        </w:rPr>
        <w:t>«дорожной карты»</w:t>
      </w:r>
    </w:p>
    <w:tbl>
      <w:tblPr>
        <w:tblW w:w="14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3"/>
        <w:gridCol w:w="2474"/>
        <w:gridCol w:w="2520"/>
        <w:gridCol w:w="1162"/>
        <w:gridCol w:w="1138"/>
        <w:gridCol w:w="2197"/>
        <w:gridCol w:w="1331"/>
        <w:gridCol w:w="1331"/>
        <w:gridCol w:w="2257"/>
      </w:tblGrid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474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Фактор/ этап реализации</w:t>
            </w:r>
          </w:p>
        </w:tc>
        <w:tc>
          <w:tcPr>
            <w:tcW w:w="2520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Необходимые меры для повышения эффективности прохождения этапов</w:t>
            </w:r>
          </w:p>
        </w:tc>
        <w:tc>
          <w:tcPr>
            <w:tcW w:w="1162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Дата начала</w:t>
            </w:r>
          </w:p>
        </w:tc>
        <w:tc>
          <w:tcPr>
            <w:tcW w:w="1138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оконча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19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Показатели, характеризующие степень достижения результата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Целевое значение показателя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Текущие</w:t>
            </w:r>
            <w:proofErr w:type="gramEnd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 значение показателя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F90457" w:rsidRPr="005B7A95">
        <w:trPr>
          <w:jc w:val="center"/>
        </w:trPr>
        <w:tc>
          <w:tcPr>
            <w:tcW w:w="14913" w:type="dxa"/>
            <w:gridSpan w:val="9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Нормативно-правовое регулирование организации и проведения регионального государственного контроля (надзора)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474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Принятие недостающих положений (порядков) о видах регионального государственного контроля (надзора)</w:t>
            </w:r>
          </w:p>
        </w:tc>
        <w:tc>
          <w:tcPr>
            <w:tcW w:w="2520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 П</w:t>
            </w: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роведение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анализа действующего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нормативного правового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регулирования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контроля (надзора).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 Разработка и утверждение перечня видов регионального государственного контроля (надзора).</w:t>
            </w:r>
          </w:p>
        </w:tc>
        <w:tc>
          <w:tcPr>
            <w:tcW w:w="1162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2017 года</w:t>
            </w:r>
          </w:p>
        </w:tc>
        <w:tc>
          <w:tcPr>
            <w:tcW w:w="1138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Доля видов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государственного контроля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(надзора),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отношении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которых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приняты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положения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(порядки)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об</w:t>
            </w:r>
            <w:proofErr w:type="gramEnd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proofErr w:type="gramEnd"/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осуществлении</w:t>
            </w:r>
            <w:proofErr w:type="gramEnd"/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34,78%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474" w:type="dxa"/>
          </w:tcPr>
          <w:p w:rsidR="00F90457" w:rsidRPr="00C73286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73286">
              <w:rPr>
                <w:rStyle w:val="29pt"/>
                <w:sz w:val="22"/>
                <w:szCs w:val="22"/>
              </w:rPr>
              <w:t>Принятие административных регламентов исполнения государственной функции по осуществлению регионального государственного контроля (надзора), о внесении изменений в них</w:t>
            </w:r>
          </w:p>
        </w:tc>
        <w:tc>
          <w:tcPr>
            <w:tcW w:w="2520" w:type="dxa"/>
          </w:tcPr>
          <w:p w:rsidR="00F90457" w:rsidRPr="00511227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1122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2.1. </w:t>
            </w:r>
            <w:r w:rsidRPr="00511227">
              <w:rPr>
                <w:rStyle w:val="29pt"/>
                <w:sz w:val="22"/>
                <w:szCs w:val="22"/>
              </w:rPr>
              <w:t>Принятие приказов об утверждении административных регламентов по осуществлению регионального государственного контроля (надзора)</w:t>
            </w:r>
            <w:r>
              <w:rPr>
                <w:rStyle w:val="29pt"/>
                <w:sz w:val="22"/>
                <w:szCs w:val="22"/>
              </w:rPr>
              <w:t>.</w:t>
            </w:r>
          </w:p>
        </w:tc>
        <w:tc>
          <w:tcPr>
            <w:tcW w:w="1162" w:type="dxa"/>
          </w:tcPr>
          <w:p w:rsidR="00F90457" w:rsidRPr="006A1D1E" w:rsidRDefault="00F90457" w:rsidP="00A43A9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2017 года</w:t>
            </w:r>
          </w:p>
        </w:tc>
        <w:tc>
          <w:tcPr>
            <w:tcW w:w="1138" w:type="dxa"/>
          </w:tcPr>
          <w:p w:rsidR="00F90457" w:rsidRPr="006A1D1E" w:rsidRDefault="00F90457" w:rsidP="00A43A9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8A769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9pt"/>
                <w:sz w:val="22"/>
                <w:szCs w:val="22"/>
              </w:rPr>
              <w:t>Д</w:t>
            </w:r>
            <w:r w:rsidRPr="008A769E">
              <w:rPr>
                <w:rStyle w:val="29pt"/>
                <w:sz w:val="22"/>
                <w:szCs w:val="22"/>
              </w:rPr>
              <w:t>оля видов регионального государственного контроля (надзора), в отношении которых приняты административные регламенты их осуществления</w:t>
            </w:r>
          </w:p>
        </w:tc>
        <w:tc>
          <w:tcPr>
            <w:tcW w:w="1331" w:type="dxa"/>
          </w:tcPr>
          <w:p w:rsidR="00F90457" w:rsidRPr="006A1D1E" w:rsidRDefault="00F90457" w:rsidP="00A43A9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1" w:type="dxa"/>
          </w:tcPr>
          <w:p w:rsidR="00F90457" w:rsidRPr="006A1D1E" w:rsidRDefault="00F90457" w:rsidP="00A43A9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</w:t>
            </w:r>
          </w:p>
        </w:tc>
      </w:tr>
      <w:tr w:rsidR="00F90457" w:rsidRPr="005B7A95">
        <w:trPr>
          <w:jc w:val="center"/>
        </w:trPr>
        <w:tc>
          <w:tcPr>
            <w:tcW w:w="14913" w:type="dxa"/>
            <w:gridSpan w:val="9"/>
          </w:tcPr>
          <w:p w:rsidR="00F90457" w:rsidRPr="00D0391D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en-US"/>
              </w:rPr>
            </w:pPr>
            <w:r w:rsidRPr="00D0391D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2</w:t>
            </w:r>
            <w:r w:rsidRPr="00D0391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Pr="00D0391D">
              <w:rPr>
                <w:rStyle w:val="2BookAntiqua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Раскрытие обязательных требований, являющихся предметом регионального государственного контроля (надзора</w:t>
            </w:r>
            <w:r>
              <w:rPr>
                <w:rStyle w:val="2BookAntiqua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)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Default="00F90457" w:rsidP="006A1D1E">
            <w:pPr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74" w:type="dxa"/>
          </w:tcPr>
          <w:p w:rsidR="00F90457" w:rsidRPr="00417761" w:rsidRDefault="00F90457" w:rsidP="006A1D1E">
            <w:pPr>
              <w:widowControl/>
              <w:jc w:val="center"/>
              <w:rPr>
                <w:rStyle w:val="29pt"/>
                <w:sz w:val="22"/>
                <w:szCs w:val="22"/>
              </w:rPr>
            </w:pPr>
            <w:r w:rsidRPr="00417761">
              <w:rPr>
                <w:rStyle w:val="29pt"/>
                <w:sz w:val="22"/>
                <w:szCs w:val="22"/>
              </w:rPr>
              <w:t xml:space="preserve">Обеспечение размещения на официальных сайтах государственных органов </w:t>
            </w:r>
            <w:r>
              <w:rPr>
                <w:rStyle w:val="29pt"/>
                <w:sz w:val="22"/>
                <w:szCs w:val="22"/>
              </w:rPr>
              <w:t xml:space="preserve">в </w:t>
            </w:r>
            <w:r w:rsidRPr="00417761">
              <w:rPr>
                <w:rStyle w:val="29pt"/>
                <w:sz w:val="22"/>
                <w:szCs w:val="22"/>
              </w:rPr>
              <w:t>информацио</w:t>
            </w:r>
            <w:r>
              <w:rPr>
                <w:rStyle w:val="29pt"/>
                <w:sz w:val="22"/>
                <w:szCs w:val="22"/>
              </w:rPr>
              <w:t>нн</w:t>
            </w:r>
            <w:proofErr w:type="gramStart"/>
            <w:r>
              <w:rPr>
                <w:rStyle w:val="29pt"/>
                <w:sz w:val="22"/>
                <w:szCs w:val="22"/>
              </w:rPr>
              <w:t>о-</w:t>
            </w:r>
            <w:proofErr w:type="gramEnd"/>
            <w:r>
              <w:rPr>
                <w:rStyle w:val="29pt"/>
                <w:sz w:val="22"/>
                <w:szCs w:val="22"/>
              </w:rPr>
              <w:t xml:space="preserve"> телекоммуникационной сети «</w:t>
            </w:r>
            <w:r w:rsidRPr="00417761">
              <w:rPr>
                <w:rStyle w:val="29pt"/>
                <w:sz w:val="22"/>
                <w:szCs w:val="22"/>
              </w:rPr>
              <w:t>Интернет</w:t>
            </w:r>
            <w:r>
              <w:rPr>
                <w:rStyle w:val="29pt"/>
                <w:sz w:val="22"/>
                <w:szCs w:val="22"/>
              </w:rPr>
              <w:t>»</w:t>
            </w:r>
            <w:r w:rsidRPr="00417761">
              <w:rPr>
                <w:rStyle w:val="29pt"/>
                <w:sz w:val="22"/>
                <w:szCs w:val="22"/>
              </w:rPr>
              <w:t xml:space="preserve"> для каждого вида регионального государственного контроля (надзора)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</w:t>
            </w:r>
          </w:p>
        </w:tc>
        <w:tc>
          <w:tcPr>
            <w:tcW w:w="2520" w:type="dxa"/>
          </w:tcPr>
          <w:p w:rsidR="00F90457" w:rsidRPr="00417761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417761">
              <w:rPr>
                <w:rStyle w:val="29pt"/>
                <w:sz w:val="22"/>
                <w:szCs w:val="22"/>
              </w:rPr>
              <w:t>Утверждение и размещение в информацион</w:t>
            </w:r>
            <w:r>
              <w:rPr>
                <w:rStyle w:val="29pt"/>
                <w:sz w:val="22"/>
                <w:szCs w:val="22"/>
              </w:rPr>
              <w:t>но - телекоммуникационной сети «Интернет»</w:t>
            </w:r>
            <w:r w:rsidRPr="00417761">
              <w:rPr>
                <w:rStyle w:val="29pt"/>
                <w:sz w:val="22"/>
                <w:szCs w:val="22"/>
              </w:rPr>
              <w:t xml:space="preserve"> на официальных сайтах органов исполнительной власти </w:t>
            </w:r>
            <w:r>
              <w:rPr>
                <w:rStyle w:val="29pt"/>
                <w:sz w:val="22"/>
                <w:szCs w:val="22"/>
              </w:rPr>
              <w:t>Курской области</w:t>
            </w:r>
            <w:r w:rsidRPr="00417761">
              <w:rPr>
                <w:rStyle w:val="29pt"/>
                <w:sz w:val="22"/>
                <w:szCs w:val="22"/>
              </w:rPr>
              <w:t>, осуществляющих региональный государственный контроль (надзор),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размещение в информа</w:t>
            </w:r>
            <w:r>
              <w:rPr>
                <w:rStyle w:val="29pt"/>
                <w:sz w:val="22"/>
                <w:szCs w:val="22"/>
              </w:rPr>
              <w:t>ционно-телекоммуникационной сети «</w:t>
            </w:r>
            <w:r w:rsidRPr="00417761">
              <w:rPr>
                <w:rStyle w:val="29pt"/>
                <w:sz w:val="22"/>
                <w:szCs w:val="22"/>
              </w:rPr>
              <w:t>Интернет</w:t>
            </w:r>
            <w:r>
              <w:rPr>
                <w:rStyle w:val="29pt"/>
                <w:sz w:val="22"/>
                <w:szCs w:val="22"/>
              </w:rPr>
              <w:t>»</w:t>
            </w:r>
            <w:r w:rsidRPr="00417761">
              <w:rPr>
                <w:rStyle w:val="29pt"/>
                <w:sz w:val="22"/>
                <w:szCs w:val="22"/>
              </w:rPr>
              <w:t xml:space="preserve"> текстов соответствующих нормативных правовых актов</w:t>
            </w:r>
            <w:r>
              <w:rPr>
                <w:rStyle w:val="29pt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162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2017 года</w:t>
            </w:r>
          </w:p>
        </w:tc>
        <w:tc>
          <w:tcPr>
            <w:tcW w:w="1138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Style w:val="29pt"/>
                <w:sz w:val="22"/>
                <w:szCs w:val="22"/>
              </w:rPr>
            </w:pPr>
            <w:r w:rsidRPr="00D743EA">
              <w:rPr>
                <w:rStyle w:val="29pt"/>
                <w:sz w:val="22"/>
                <w:szCs w:val="22"/>
              </w:rPr>
              <w:t xml:space="preserve">Доля видов регионального государственного контроля (надзора), в отношении которых обеспечено размещение на официальных сайтах </w:t>
            </w:r>
            <w:r w:rsidRPr="00417761">
              <w:rPr>
                <w:rStyle w:val="29pt"/>
                <w:sz w:val="22"/>
                <w:szCs w:val="22"/>
              </w:rPr>
              <w:t xml:space="preserve">органов исполнительной власти </w:t>
            </w:r>
            <w:r>
              <w:rPr>
                <w:rStyle w:val="29pt"/>
                <w:sz w:val="22"/>
                <w:szCs w:val="22"/>
              </w:rPr>
              <w:t>Курской области</w:t>
            </w:r>
            <w:r w:rsidRPr="00417761">
              <w:rPr>
                <w:rStyle w:val="29pt"/>
                <w:sz w:val="22"/>
                <w:szCs w:val="22"/>
              </w:rPr>
              <w:t>, осуществляющих региональный государственный контроль (надзор)</w:t>
            </w:r>
            <w:r>
              <w:rPr>
                <w:rStyle w:val="29pt"/>
                <w:sz w:val="22"/>
                <w:szCs w:val="22"/>
              </w:rPr>
              <w:t xml:space="preserve">, </w:t>
            </w:r>
            <w:r w:rsidRPr="00D743EA">
              <w:rPr>
                <w:rStyle w:val="29pt"/>
                <w:sz w:val="22"/>
                <w:szCs w:val="22"/>
              </w:rPr>
              <w:t>в информационн</w:t>
            </w:r>
            <w:proofErr w:type="gramStart"/>
            <w:r w:rsidRPr="00D743EA">
              <w:rPr>
                <w:rStyle w:val="29pt"/>
                <w:sz w:val="22"/>
                <w:szCs w:val="22"/>
              </w:rPr>
              <w:t>о-</w:t>
            </w:r>
            <w:proofErr w:type="gramEnd"/>
            <w:r w:rsidRPr="00D743EA">
              <w:rPr>
                <w:rStyle w:val="29pt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29pt"/>
                <w:sz w:val="22"/>
                <w:szCs w:val="22"/>
              </w:rPr>
              <w:t>телекоммуникаци-</w:t>
            </w:r>
            <w:r w:rsidRPr="00D743EA">
              <w:rPr>
                <w:rStyle w:val="29pt"/>
                <w:sz w:val="22"/>
                <w:szCs w:val="22"/>
              </w:rPr>
              <w:t>он</w:t>
            </w:r>
            <w:r>
              <w:rPr>
                <w:rStyle w:val="29pt"/>
                <w:sz w:val="22"/>
                <w:szCs w:val="22"/>
              </w:rPr>
              <w:t>ной</w:t>
            </w:r>
            <w:proofErr w:type="spellEnd"/>
            <w:r>
              <w:rPr>
                <w:rStyle w:val="29pt"/>
                <w:sz w:val="22"/>
                <w:szCs w:val="22"/>
              </w:rPr>
              <w:t xml:space="preserve"> сети «</w:t>
            </w:r>
            <w:r w:rsidRPr="00D743EA">
              <w:rPr>
                <w:rStyle w:val="29pt"/>
                <w:sz w:val="22"/>
                <w:szCs w:val="22"/>
              </w:rPr>
              <w:t>Интернет</w:t>
            </w:r>
            <w:r>
              <w:rPr>
                <w:rStyle w:val="29pt"/>
                <w:sz w:val="22"/>
                <w:szCs w:val="22"/>
              </w:rPr>
              <w:t>»</w:t>
            </w:r>
            <w:r w:rsidRPr="00D743EA">
              <w:rPr>
                <w:rStyle w:val="29pt"/>
                <w:sz w:val="22"/>
                <w:szCs w:val="22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 (надзора), а также текстов соответствующих нормативных правовых актов</w:t>
            </w:r>
          </w:p>
          <w:p w:rsidR="00F90457" w:rsidRPr="00D743EA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Style w:val="29pt"/>
                <w:sz w:val="22"/>
                <w:szCs w:val="22"/>
              </w:rPr>
            </w:pPr>
          </w:p>
        </w:tc>
        <w:tc>
          <w:tcPr>
            <w:tcW w:w="1331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1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</w:t>
            </w:r>
          </w:p>
        </w:tc>
      </w:tr>
      <w:tr w:rsidR="00F90457" w:rsidRPr="005B7A95">
        <w:trPr>
          <w:jc w:val="center"/>
        </w:trPr>
        <w:tc>
          <w:tcPr>
            <w:tcW w:w="14913" w:type="dxa"/>
            <w:gridSpan w:val="9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1D1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3. Применение </w:t>
            </w:r>
            <w:proofErr w:type="spellStart"/>
            <w:proofErr w:type="gramStart"/>
            <w:r w:rsidRPr="006A1D1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риск-ориентированного</w:t>
            </w:r>
            <w:proofErr w:type="spellEnd"/>
            <w:proofErr w:type="gramEnd"/>
            <w:r w:rsidRPr="006A1D1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 подхода при организации регионального государственного контроля (надзора)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</w:t>
            </w:r>
          </w:p>
        </w:tc>
        <w:tc>
          <w:tcPr>
            <w:tcW w:w="2474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Подготовка и направление в федеральный орган исполнительной власти, осуществляющий функции по нормативно-правовому регулированию в соответствующей сфере государственного контроля (надзора), предложений по определению критериев отнесения объектов контроля (надзора) к определенной категории риска (класса опасности) по 7 приоритетным видам контроля (надзора)</w:t>
            </w:r>
          </w:p>
        </w:tc>
        <w:tc>
          <w:tcPr>
            <w:tcW w:w="2520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1.1. Систематизация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имеющейся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правоприменительной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практики с точки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зрения выявления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зон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наибольшего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риска для охраняемых законом ценностей.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1.2. Разработка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критериев отнесения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контроля (надзора)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определенной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категории риска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(классу опасности) 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их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адрес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федерального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органа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исполнительной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власти,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осуществляющего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функции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нормативно-правовому регулированию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соответствующей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сфере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государственного</w:t>
            </w:r>
            <w:proofErr w:type="gramEnd"/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контроля (надзора).</w:t>
            </w:r>
          </w:p>
        </w:tc>
        <w:tc>
          <w:tcPr>
            <w:tcW w:w="1162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138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Доля видов приоритетного регионального государственного контроля (надзора), по которым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подготовлены и направлены</w:t>
            </w:r>
            <w:proofErr w:type="gramEnd"/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предложения по определению критериев отнесения объектов контроля (надзора) к определенной категории риска (класса опасности) по 7 приоритетным видам контроля (надзора)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 с применением риск-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ориентированного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подхода 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74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Утверждение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критериев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отнесения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подконтрольных субъектов (объектов)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категории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риска (классу</w:t>
            </w:r>
            <w:proofErr w:type="gramEnd"/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опасности)</w:t>
            </w:r>
          </w:p>
        </w:tc>
        <w:tc>
          <w:tcPr>
            <w:tcW w:w="2520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Разработка и принятие нормативно-правовых актов Курской области, определяющих к</w:t>
            </w: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ритерии отнесения подконтрольных субъектов (объектов)    к категории риска (классу опасности).</w:t>
            </w:r>
          </w:p>
        </w:tc>
        <w:tc>
          <w:tcPr>
            <w:tcW w:w="1162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        2017 года</w:t>
            </w:r>
          </w:p>
        </w:tc>
        <w:tc>
          <w:tcPr>
            <w:tcW w:w="1138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Доля видов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 контроля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(надзора) в числе 7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приоритетных</w:t>
            </w:r>
            <w:proofErr w:type="gramEnd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 которым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утверждены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критерии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отнесения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подконтрольных </w:t>
            </w:r>
            <w:r w:rsidRPr="006A1D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(объектов)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категории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риска (классу</w:t>
            </w:r>
            <w:proofErr w:type="gramEnd"/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опасности),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 с применением риск-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ориентированного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подхода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2474" w:type="dxa"/>
          </w:tcPr>
          <w:p w:rsidR="00F90457" w:rsidRPr="006A1D1E" w:rsidRDefault="00F90457" w:rsidP="00756C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Составление</w:t>
            </w:r>
          </w:p>
          <w:p w:rsidR="00F90457" w:rsidRPr="006A1D1E" w:rsidRDefault="00F90457" w:rsidP="00756C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плана проверок по 7</w:t>
            </w:r>
          </w:p>
          <w:p w:rsidR="00F90457" w:rsidRPr="006A1D1E" w:rsidRDefault="00F90457" w:rsidP="00756C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приоритетным видам</w:t>
            </w:r>
          </w:p>
          <w:p w:rsidR="00F90457" w:rsidRPr="006A1D1E" w:rsidRDefault="00F90457" w:rsidP="00756C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</w:p>
          <w:p w:rsidR="00F90457" w:rsidRPr="006A1D1E" w:rsidRDefault="00F90457" w:rsidP="00756CF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государственного контроля (надзора) на основании</w:t>
            </w:r>
          </w:p>
          <w:p w:rsidR="00F90457" w:rsidRPr="006A1D1E" w:rsidRDefault="00F90457" w:rsidP="00756CF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риск-ориентированного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подхода</w:t>
            </w:r>
          </w:p>
        </w:tc>
        <w:tc>
          <w:tcPr>
            <w:tcW w:w="2520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Предварительный учет подконтрольных субъектов (объектов), их распределение по категориям риска (классам опасности)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62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        2017 года</w:t>
            </w:r>
          </w:p>
        </w:tc>
        <w:tc>
          <w:tcPr>
            <w:tcW w:w="1138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Доля видов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 контроля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(надзора)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из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числа 7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приоритетных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видов, по которым план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проверок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составлен на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основании</w:t>
            </w:r>
            <w:proofErr w:type="gramEnd"/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риск-</w:t>
            </w:r>
          </w:p>
          <w:p w:rsidR="00F90457" w:rsidRDefault="00F90457" w:rsidP="006A1D1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ориентированного подхода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0%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 с применением риск-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ориентированного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подхода</w:t>
            </w:r>
          </w:p>
        </w:tc>
      </w:tr>
      <w:tr w:rsidR="00F90457" w:rsidRPr="005B7A95">
        <w:trPr>
          <w:jc w:val="center"/>
        </w:trPr>
        <w:tc>
          <w:tcPr>
            <w:tcW w:w="14913" w:type="dxa"/>
            <w:gridSpan w:val="9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6A1D1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Оценка эффективности деятельности органов регионального государственного контроля (надзора)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74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Утверждение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порядка (методики)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оценки результативности 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эффективности контрольно-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надзорной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предусматривающей</w:t>
            </w:r>
            <w:proofErr w:type="gramEnd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показатели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эффективности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 результативности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контрольно-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надзорной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деятельности,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порядок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обеспечения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их доступности,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порядок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контроля за</w:t>
            </w:r>
            <w:proofErr w:type="gramEnd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 достижением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данных показателей и стимулирования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в зависимости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от их достижения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сотрудниками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органов контроля</w:t>
            </w:r>
          </w:p>
          <w:p w:rsidR="00F90457" w:rsidRDefault="00F90457" w:rsidP="006A1D1E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(надзора)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20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1.1. Разработка предложений  в перечень показателей результативности и эффективности ко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нтрольно-надзорной деятельности.</w:t>
            </w:r>
            <w:bookmarkStart w:id="2" w:name="_GoBack"/>
            <w:bookmarkEnd w:id="2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1.2. Принятие нормативного правового акта Курской области, определяющего порядок </w:t>
            </w: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(методику)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оценки результативности и эффективности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контрольно-надзорной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деятельности.</w:t>
            </w:r>
          </w:p>
        </w:tc>
        <w:tc>
          <w:tcPr>
            <w:tcW w:w="1162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Март         2017 года</w:t>
            </w:r>
          </w:p>
        </w:tc>
        <w:tc>
          <w:tcPr>
            <w:tcW w:w="1138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Наличие </w:t>
            </w: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порядка (методики)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оценки результативности 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эффективности контрольно-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надзорной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 (</w:t>
            </w: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4,35%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</w:t>
            </w:r>
          </w:p>
        </w:tc>
      </w:tr>
      <w:tr w:rsidR="00F90457" w:rsidRPr="005B7A95">
        <w:trPr>
          <w:jc w:val="center"/>
        </w:trPr>
        <w:tc>
          <w:tcPr>
            <w:tcW w:w="14913" w:type="dxa"/>
            <w:gridSpan w:val="9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lastRenderedPageBreak/>
              <w:t>5</w:t>
            </w:r>
            <w:r w:rsidRPr="006A1D1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. Учет подконтрольных субъектов (объектов) и истории их проверок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F61AA3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 </w:t>
            </w:r>
          </w:p>
        </w:tc>
        <w:tc>
          <w:tcPr>
            <w:tcW w:w="2474" w:type="dxa"/>
          </w:tcPr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Организация</w:t>
            </w:r>
          </w:p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системы учета</w:t>
            </w:r>
          </w:p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подконтрольных субъектов (объектов),</w:t>
            </w:r>
          </w:p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результатов</w:t>
            </w:r>
          </w:p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мероприятий</w:t>
            </w:r>
          </w:p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 видам</w:t>
            </w:r>
          </w:p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</w:p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государственного контроля (надзора)</w:t>
            </w:r>
          </w:p>
        </w:tc>
        <w:tc>
          <w:tcPr>
            <w:tcW w:w="2520" w:type="dxa"/>
          </w:tcPr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1.1. Инвентаризация используемых в органах исполнительной власти Курской области информационных решений (ресурсов) для учета подконтрольных субъектов (объектов), </w:t>
            </w: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результатов</w:t>
            </w:r>
          </w:p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мероприятий по региональному (государственному) контролю (надзору).</w:t>
            </w:r>
          </w:p>
          <w:p w:rsidR="00F90457" w:rsidRPr="006A1D1E" w:rsidRDefault="00F90457" w:rsidP="00F61AA3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1.2. Утверждение и реализация плана работы по организации системы учета подконтрольных субъектов (объектов), результатов мероприятий по региональному государственному контролю (надзору).</w:t>
            </w:r>
          </w:p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62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2017 года</w:t>
            </w:r>
          </w:p>
        </w:tc>
        <w:tc>
          <w:tcPr>
            <w:tcW w:w="1138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Style w:val="29pt"/>
                <w:sz w:val="22"/>
                <w:szCs w:val="22"/>
              </w:rPr>
              <w:t>Доля видов регионального государственного контроля (надзора), по которым с использованием информационных решений (ресурсов) обобщаются данные</w:t>
            </w:r>
          </w:p>
        </w:tc>
        <w:tc>
          <w:tcPr>
            <w:tcW w:w="1331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1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95,65%</w:t>
            </w:r>
          </w:p>
        </w:tc>
        <w:tc>
          <w:tcPr>
            <w:tcW w:w="2257" w:type="dxa"/>
          </w:tcPr>
          <w:p w:rsidR="00F90457" w:rsidRPr="006A1D1E" w:rsidRDefault="00F90457" w:rsidP="00F61AA3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</w:t>
            </w:r>
          </w:p>
        </w:tc>
      </w:tr>
      <w:tr w:rsidR="00F90457" w:rsidRPr="005B7A95">
        <w:trPr>
          <w:jc w:val="center"/>
        </w:trPr>
        <w:tc>
          <w:tcPr>
            <w:tcW w:w="14913" w:type="dxa"/>
            <w:gridSpan w:val="9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</w:t>
            </w:r>
            <w:r w:rsidRPr="006A1D1E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. Информационное обеспечение контрольно-надзорной деятельности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1. </w:t>
            </w:r>
          </w:p>
        </w:tc>
        <w:tc>
          <w:tcPr>
            <w:tcW w:w="2474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Внедрение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информационного решения (ресурса),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позволяющего: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вести учет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подконтрольных субъектов (объектов);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обеспечить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информатизацию процессов оценки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эффективности 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результативности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органов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государственного контроля (надзора), в том числе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динамическое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наблюдение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установленными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показателями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эффективности и результативности;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обеспечить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возможность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межведомственного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информационного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взаимодействия. </w:t>
            </w:r>
          </w:p>
        </w:tc>
        <w:tc>
          <w:tcPr>
            <w:tcW w:w="2520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1.1. Инвентаризация используемых в органах исполнительной власти Курской области при осуществлении контрольно-надзорной деятельности информационных решений (ресурсов).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1.2. Определение направлений совершенствования информационного обеспечения контрольно-надзорной деятельности.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1.3. Утверждение и реализация плана мероприятий по совершенствованию информационного обеспечения контрольно-надзорной деятельности.</w:t>
            </w:r>
          </w:p>
        </w:tc>
        <w:tc>
          <w:tcPr>
            <w:tcW w:w="1162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Март         2017 года</w:t>
            </w:r>
          </w:p>
        </w:tc>
        <w:tc>
          <w:tcPr>
            <w:tcW w:w="1138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Доля видов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регионального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государственно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го контроля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(надзора), </w:t>
            </w:r>
            <w:proofErr w:type="gramStart"/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proofErr w:type="gramEnd"/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которым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осуществлена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информатизация контрольно-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надзорной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деятельности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по указанным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направлениям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100%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34,78%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</w:t>
            </w:r>
          </w:p>
        </w:tc>
      </w:tr>
      <w:tr w:rsidR="00F90457" w:rsidRPr="005B7A95">
        <w:trPr>
          <w:jc w:val="center"/>
        </w:trPr>
        <w:tc>
          <w:tcPr>
            <w:tcW w:w="503" w:type="dxa"/>
          </w:tcPr>
          <w:p w:rsidR="00F90457" w:rsidRPr="006A1D1E" w:rsidRDefault="00F90457" w:rsidP="006A1D1E">
            <w:pPr>
              <w:widowControl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2474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Организация взаимодействия с территориальными отделениями федеральных органов исполнительной власти и бизнеса в процессе реформирования контрольной (надзорной) деятельности</w:t>
            </w:r>
          </w:p>
        </w:tc>
        <w:tc>
          <w:tcPr>
            <w:tcW w:w="2520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.1. Осуществление межведомственного электронного взаимодействия с территориальными отделениями федеральных органов исполнительной власти при осуществлении контрольных мероприятий.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.2. Направление предложений территориальным органам федеральных органов исполнительной власти, реализующим контрольную (надзорную) деятельность на территории Курской области, </w:t>
            </w:r>
            <w:proofErr w:type="spellStart"/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бизнесобъединениям</w:t>
            </w:r>
            <w:proofErr w:type="spellEnd"/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Курской области о разработке и утверждении соглашения о сотрудничестве в рамках проведения проверки.</w:t>
            </w:r>
          </w:p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.3. Разработка технологических карт межведомственного взаимодействия осуществления государственного контроля (надзора).</w:t>
            </w:r>
          </w:p>
        </w:tc>
        <w:tc>
          <w:tcPr>
            <w:tcW w:w="1162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Март         2017 года</w:t>
            </w:r>
          </w:p>
        </w:tc>
        <w:tc>
          <w:tcPr>
            <w:tcW w:w="1138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Декабрь 2017 года</w:t>
            </w:r>
          </w:p>
        </w:tc>
        <w:tc>
          <w:tcPr>
            <w:tcW w:w="2197" w:type="dxa"/>
          </w:tcPr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 xml:space="preserve">Доля видов государственного контроля (надзора), по которым организована систематическая работа с территориальными отделениями федеральных органов </w:t>
            </w:r>
            <w:r w:rsidRPr="006A1D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исполнительной власти и бизнес-</w:t>
            </w:r>
          </w:p>
          <w:p w:rsidR="00F90457" w:rsidRPr="006A1D1E" w:rsidRDefault="00F90457" w:rsidP="006A1D1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</w:rPr>
              <w:t>объединениями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100%</w:t>
            </w:r>
          </w:p>
        </w:tc>
        <w:tc>
          <w:tcPr>
            <w:tcW w:w="1331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34,78%</w:t>
            </w:r>
          </w:p>
        </w:tc>
        <w:tc>
          <w:tcPr>
            <w:tcW w:w="2257" w:type="dxa"/>
          </w:tcPr>
          <w:p w:rsidR="00F90457" w:rsidRPr="006A1D1E" w:rsidRDefault="00F90457" w:rsidP="006A1D1E">
            <w:pPr>
              <w:widowControl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A1D1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Органы исполнительной власти Курской области, осуществляющие региональный государственный контроль (надзор)</w:t>
            </w:r>
          </w:p>
        </w:tc>
      </w:tr>
    </w:tbl>
    <w:p w:rsidR="00F90457" w:rsidRDefault="00F90457" w:rsidP="005B7A95"/>
    <w:p w:rsidR="00F90457" w:rsidRPr="009321B2" w:rsidRDefault="00F90457" w:rsidP="009321B2">
      <w:pPr>
        <w:pStyle w:val="20"/>
        <w:shd w:val="clear" w:color="auto" w:fill="auto"/>
        <w:tabs>
          <w:tab w:val="left" w:pos="1469"/>
        </w:tabs>
        <w:spacing w:line="240" w:lineRule="auto"/>
        <w:jc w:val="center"/>
        <w:rPr>
          <w:b/>
          <w:bCs/>
        </w:rPr>
      </w:pPr>
    </w:p>
    <w:p w:rsidR="00F90457" w:rsidRPr="0002561A" w:rsidRDefault="00F90457" w:rsidP="00344D7D">
      <w:pPr>
        <w:rPr>
          <w:rFonts w:ascii="Times New Roman" w:hAnsi="Times New Roman" w:cs="Times New Roman"/>
          <w:sz w:val="28"/>
          <w:szCs w:val="28"/>
        </w:rPr>
      </w:pPr>
    </w:p>
    <w:p w:rsidR="00F90457" w:rsidRPr="0002561A" w:rsidRDefault="00F90457" w:rsidP="000256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0457" w:rsidRPr="0002561A" w:rsidRDefault="00F90457" w:rsidP="000256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0457" w:rsidRPr="0002561A" w:rsidRDefault="00F90457" w:rsidP="000256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0457" w:rsidRPr="0002561A" w:rsidRDefault="00F90457" w:rsidP="000256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0457" w:rsidRPr="0002561A" w:rsidRDefault="00F90457" w:rsidP="000256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0457" w:rsidRPr="0002561A" w:rsidRDefault="00F90457" w:rsidP="0002561A">
      <w:pPr>
        <w:pStyle w:val="40"/>
        <w:shd w:val="clear" w:color="auto" w:fill="auto"/>
        <w:tabs>
          <w:tab w:val="left" w:pos="198"/>
        </w:tabs>
        <w:spacing w:before="0" w:line="240" w:lineRule="auto"/>
        <w:ind w:firstLine="709"/>
        <w:rPr>
          <w:b w:val="0"/>
          <w:bCs w:val="0"/>
          <w:sz w:val="28"/>
          <w:szCs w:val="28"/>
        </w:rPr>
      </w:pPr>
    </w:p>
    <w:sectPr w:rsidR="00F90457" w:rsidRPr="0002561A" w:rsidSect="00C03632">
      <w:headerReference w:type="default" r:id="rId7"/>
      <w:footerReference w:type="default" r:id="rId8"/>
      <w:headerReference w:type="first" r:id="rId9"/>
      <w:footerReference w:type="first" r:id="rId10"/>
      <w:pgSz w:w="16840" w:h="11900" w:orient="landscape"/>
      <w:pgMar w:top="954" w:right="735" w:bottom="876" w:left="158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C48" w:rsidRDefault="00A44C48" w:rsidP="00940107">
      <w:r>
        <w:separator/>
      </w:r>
    </w:p>
  </w:endnote>
  <w:endnote w:type="continuationSeparator" w:id="0">
    <w:p w:rsidR="00A44C48" w:rsidRDefault="00A44C48" w:rsidP="00940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57" w:rsidRDefault="00F9045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57" w:rsidRDefault="00F904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C48" w:rsidRDefault="00A44C48"/>
  </w:footnote>
  <w:footnote w:type="continuationSeparator" w:id="0">
    <w:p w:rsidR="00A44C48" w:rsidRDefault="00A44C4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57" w:rsidRDefault="006D324C">
    <w:pPr>
      <w:pStyle w:val="a8"/>
      <w:jc w:val="center"/>
    </w:pPr>
    <w:fldSimple w:instr="PAGE   \* MERGEFORMAT">
      <w:r w:rsidR="0012502B">
        <w:rPr>
          <w:noProof/>
        </w:rPr>
        <w:t>9</w:t>
      </w:r>
    </w:fldSimple>
  </w:p>
  <w:p w:rsidR="00F90457" w:rsidRDefault="00F9045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457" w:rsidRDefault="00F90457">
    <w:pPr>
      <w:pStyle w:val="a8"/>
    </w:pPr>
    <w:r>
      <w:rPr>
        <w:rFonts w:ascii="Arial Unicode MS Cyr" w:hAnsi="Arial Unicode MS Cyr" w:cs="Arial Unicode MS Cyr"/>
      </w:rPr>
      <w:t>[Введите текст]</w:t>
    </w:r>
  </w:p>
  <w:p w:rsidR="00F90457" w:rsidRDefault="00F9045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60C85"/>
    <w:multiLevelType w:val="hybridMultilevel"/>
    <w:tmpl w:val="D946D2EC"/>
    <w:lvl w:ilvl="0" w:tplc="7F4271E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0F761E"/>
    <w:multiLevelType w:val="multilevel"/>
    <w:tmpl w:val="41C0F88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92005F"/>
    <w:multiLevelType w:val="multilevel"/>
    <w:tmpl w:val="E58CABA0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516181"/>
    <w:multiLevelType w:val="multilevel"/>
    <w:tmpl w:val="7840CA2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BF5753"/>
    <w:multiLevelType w:val="multilevel"/>
    <w:tmpl w:val="A4C21D1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8A2627"/>
    <w:multiLevelType w:val="multilevel"/>
    <w:tmpl w:val="D48A536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C17C9A"/>
    <w:multiLevelType w:val="hybridMultilevel"/>
    <w:tmpl w:val="991A2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65229"/>
    <w:multiLevelType w:val="multilevel"/>
    <w:tmpl w:val="4BD48D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0A139E"/>
    <w:multiLevelType w:val="hybridMultilevel"/>
    <w:tmpl w:val="33F47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94227"/>
    <w:multiLevelType w:val="hybridMultilevel"/>
    <w:tmpl w:val="068A30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0">
    <w:nsid w:val="69470AE1"/>
    <w:multiLevelType w:val="multilevel"/>
    <w:tmpl w:val="334EC08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2951957"/>
    <w:multiLevelType w:val="multilevel"/>
    <w:tmpl w:val="B154792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2E74E30"/>
    <w:multiLevelType w:val="multilevel"/>
    <w:tmpl w:val="750A664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4C353E"/>
    <w:multiLevelType w:val="hybridMultilevel"/>
    <w:tmpl w:val="D032C944"/>
    <w:lvl w:ilvl="0" w:tplc="B5E8058A">
      <w:start w:val="1"/>
      <w:numFmt w:val="decimal"/>
      <w:lvlText w:val="%1)"/>
      <w:lvlJc w:val="left"/>
      <w:pPr>
        <w:ind w:left="1095" w:hanging="735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40107"/>
    <w:rsid w:val="0002561A"/>
    <w:rsid w:val="0003211C"/>
    <w:rsid w:val="000864F9"/>
    <w:rsid w:val="000A1F17"/>
    <w:rsid w:val="000B743B"/>
    <w:rsid w:val="000E7BE4"/>
    <w:rsid w:val="0012310F"/>
    <w:rsid w:val="0012502B"/>
    <w:rsid w:val="0013507A"/>
    <w:rsid w:val="00164027"/>
    <w:rsid w:val="0017130A"/>
    <w:rsid w:val="00173BC6"/>
    <w:rsid w:val="001A550B"/>
    <w:rsid w:val="001A64FE"/>
    <w:rsid w:val="001B4831"/>
    <w:rsid w:val="001D056B"/>
    <w:rsid w:val="001D50BA"/>
    <w:rsid w:val="001E613A"/>
    <w:rsid w:val="00236E23"/>
    <w:rsid w:val="00240C80"/>
    <w:rsid w:val="00242781"/>
    <w:rsid w:val="00264B4B"/>
    <w:rsid w:val="002703D6"/>
    <w:rsid w:val="002900AA"/>
    <w:rsid w:val="00291B5F"/>
    <w:rsid w:val="002A4414"/>
    <w:rsid w:val="002B7E1F"/>
    <w:rsid w:val="00344D7D"/>
    <w:rsid w:val="00347065"/>
    <w:rsid w:val="00394D18"/>
    <w:rsid w:val="003D141C"/>
    <w:rsid w:val="0041079C"/>
    <w:rsid w:val="00417761"/>
    <w:rsid w:val="004213FE"/>
    <w:rsid w:val="004401B9"/>
    <w:rsid w:val="00440276"/>
    <w:rsid w:val="0045300B"/>
    <w:rsid w:val="00472D18"/>
    <w:rsid w:val="00476B98"/>
    <w:rsid w:val="00490E76"/>
    <w:rsid w:val="004A3122"/>
    <w:rsid w:val="004A5DDA"/>
    <w:rsid w:val="004C22F9"/>
    <w:rsid w:val="00511227"/>
    <w:rsid w:val="00512B03"/>
    <w:rsid w:val="005B7A95"/>
    <w:rsid w:val="006541C3"/>
    <w:rsid w:val="006A1D1E"/>
    <w:rsid w:val="006B0DCA"/>
    <w:rsid w:val="006B0E7A"/>
    <w:rsid w:val="006D324C"/>
    <w:rsid w:val="006F3716"/>
    <w:rsid w:val="00756654"/>
    <w:rsid w:val="00756CFE"/>
    <w:rsid w:val="00774168"/>
    <w:rsid w:val="00797C89"/>
    <w:rsid w:val="007E7EC4"/>
    <w:rsid w:val="008A6E7D"/>
    <w:rsid w:val="008A769E"/>
    <w:rsid w:val="008C5513"/>
    <w:rsid w:val="008D4C37"/>
    <w:rsid w:val="009226C9"/>
    <w:rsid w:val="009321B2"/>
    <w:rsid w:val="00940107"/>
    <w:rsid w:val="00950843"/>
    <w:rsid w:val="00987EA6"/>
    <w:rsid w:val="009A4F48"/>
    <w:rsid w:val="00A14EA7"/>
    <w:rsid w:val="00A27F61"/>
    <w:rsid w:val="00A34EC1"/>
    <w:rsid w:val="00A43A93"/>
    <w:rsid w:val="00A44C48"/>
    <w:rsid w:val="00AC63A4"/>
    <w:rsid w:val="00BE11CB"/>
    <w:rsid w:val="00C03632"/>
    <w:rsid w:val="00C37522"/>
    <w:rsid w:val="00C620D5"/>
    <w:rsid w:val="00C73286"/>
    <w:rsid w:val="00C86375"/>
    <w:rsid w:val="00C970D5"/>
    <w:rsid w:val="00D0391D"/>
    <w:rsid w:val="00D10A50"/>
    <w:rsid w:val="00D2077B"/>
    <w:rsid w:val="00D5050E"/>
    <w:rsid w:val="00D62F30"/>
    <w:rsid w:val="00D743EA"/>
    <w:rsid w:val="00DD6977"/>
    <w:rsid w:val="00DF518D"/>
    <w:rsid w:val="00E053D9"/>
    <w:rsid w:val="00E15B50"/>
    <w:rsid w:val="00E24391"/>
    <w:rsid w:val="00F160DC"/>
    <w:rsid w:val="00F205B4"/>
    <w:rsid w:val="00F45A84"/>
    <w:rsid w:val="00F47E31"/>
    <w:rsid w:val="00F5724F"/>
    <w:rsid w:val="00F61AA3"/>
    <w:rsid w:val="00F90457"/>
    <w:rsid w:val="00FC11BD"/>
    <w:rsid w:val="00FD1FD9"/>
    <w:rsid w:val="00FD2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0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0107"/>
    <w:rPr>
      <w:color w:val="auto"/>
      <w:u w:val="single"/>
    </w:rPr>
  </w:style>
  <w:style w:type="character" w:customStyle="1" w:styleId="2Exact">
    <w:name w:val="Основной текст (2) Exact"/>
    <w:basedOn w:val="a0"/>
    <w:uiPriority w:val="99"/>
    <w:rsid w:val="00940107"/>
    <w:rPr>
      <w:rFonts w:ascii="Times New Roman" w:hAnsi="Times New Roman" w:cs="Times New Roman"/>
      <w:sz w:val="28"/>
      <w:szCs w:val="28"/>
      <w:u w:val="none"/>
    </w:rPr>
  </w:style>
  <w:style w:type="character" w:customStyle="1" w:styleId="3Exact">
    <w:name w:val="Основной текст (3) Exact"/>
    <w:basedOn w:val="a0"/>
    <w:uiPriority w:val="99"/>
    <w:rsid w:val="009401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40107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9401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9401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1"/>
    <w:uiPriority w:val="99"/>
    <w:locked/>
    <w:rsid w:val="00940107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sid w:val="00940107"/>
    <w:rPr>
      <w:color w:val="000000"/>
      <w:spacing w:val="0"/>
      <w:w w:val="100"/>
      <w:position w:val="0"/>
      <w:lang w:val="ru-RU" w:eastAsia="ru-RU"/>
    </w:rPr>
  </w:style>
  <w:style w:type="character" w:customStyle="1" w:styleId="1Exact">
    <w:name w:val="Заголовок №1 Exact"/>
    <w:basedOn w:val="a0"/>
    <w:uiPriority w:val="99"/>
    <w:rsid w:val="0094010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Exact1">
    <w:name w:val="Заголовок №1 Exact1"/>
    <w:basedOn w:val="1"/>
    <w:uiPriority w:val="99"/>
    <w:rsid w:val="00940107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11pt">
    <w:name w:val="Основной текст (2) + 11 pt"/>
    <w:aliases w:val="Полужирный"/>
    <w:basedOn w:val="2"/>
    <w:uiPriority w:val="99"/>
    <w:rsid w:val="00940107"/>
    <w:rPr>
      <w:b/>
      <w:bCs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11pt1">
    <w:name w:val="Основной текст (2) + 11 pt1"/>
    <w:basedOn w:val="2"/>
    <w:uiPriority w:val="99"/>
    <w:rsid w:val="00940107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2BookAntiqua">
    <w:name w:val="Основной текст (2) + Book Antiqua"/>
    <w:aliases w:val="10,5 pt,Полужирный1,Курсив,Основной текст (2) + 8"/>
    <w:basedOn w:val="2"/>
    <w:uiPriority w:val="99"/>
    <w:rsid w:val="00940107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940107"/>
    <w:rPr>
      <w:rFonts w:ascii="Times New Roman" w:hAnsi="Times New Roman" w:cs="Times New Roman"/>
      <w:b/>
      <w:bCs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uiPriority w:val="99"/>
    <w:rsid w:val="009401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940107"/>
    <w:pPr>
      <w:shd w:val="clear" w:color="auto" w:fill="FFFFFF"/>
      <w:spacing w:before="1860" w:after="54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940107"/>
    <w:pPr>
      <w:shd w:val="clear" w:color="auto" w:fill="FFFFFF"/>
      <w:spacing w:before="900" w:line="24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uiPriority w:val="99"/>
    <w:rsid w:val="0094010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940107"/>
    <w:pPr>
      <w:shd w:val="clear" w:color="auto" w:fill="FFFFFF"/>
      <w:spacing w:before="54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uiPriority w:val="99"/>
    <w:rsid w:val="007741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uiPriority w:val="99"/>
    <w:rsid w:val="00242781"/>
    <w:rPr>
      <w:rFonts w:ascii="Calibri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950843"/>
    <w:pPr>
      <w:ind w:left="720"/>
    </w:pPr>
  </w:style>
  <w:style w:type="character" w:customStyle="1" w:styleId="29pt">
    <w:name w:val="Основной текст (2) + 9 pt"/>
    <w:basedOn w:val="2"/>
    <w:uiPriority w:val="99"/>
    <w:rsid w:val="005B7A95"/>
    <w:rPr>
      <w:color w:val="000000"/>
      <w:spacing w:val="0"/>
      <w:w w:val="100"/>
      <w:position w:val="0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rsid w:val="00C03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03632"/>
    <w:rPr>
      <w:color w:val="000000"/>
    </w:rPr>
  </w:style>
  <w:style w:type="paragraph" w:styleId="aa">
    <w:name w:val="footer"/>
    <w:basedOn w:val="a"/>
    <w:link w:val="ab"/>
    <w:uiPriority w:val="99"/>
    <w:rsid w:val="00C03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03632"/>
    <w:rPr>
      <w:color w:val="000000"/>
    </w:rPr>
  </w:style>
  <w:style w:type="paragraph" w:styleId="ac">
    <w:name w:val="Balloon Text"/>
    <w:basedOn w:val="a"/>
    <w:link w:val="ad"/>
    <w:uiPriority w:val="99"/>
    <w:semiHidden/>
    <w:rsid w:val="00C036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036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2278</Words>
  <Characters>12986</Characters>
  <Application>Microsoft Office Word</Application>
  <DocSecurity>0</DocSecurity>
  <Lines>108</Lines>
  <Paragraphs>30</Paragraphs>
  <ScaleCrop>false</ScaleCrop>
  <Company/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oem</cp:lastModifiedBy>
  <cp:revision>2</cp:revision>
  <cp:lastPrinted>2017-02-22T07:40:00Z</cp:lastPrinted>
  <dcterms:created xsi:type="dcterms:W3CDTF">2017-11-03T07:21:00Z</dcterms:created>
  <dcterms:modified xsi:type="dcterms:W3CDTF">2017-11-03T07:21:00Z</dcterms:modified>
</cp:coreProperties>
</file>