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8E" w:rsidRDefault="009B14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148E" w:rsidRDefault="009B148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B14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48E" w:rsidRDefault="009B148E">
            <w:pPr>
              <w:pStyle w:val="ConsPlusNormal"/>
            </w:pPr>
            <w:r>
              <w:t>11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48E" w:rsidRDefault="009B148E">
            <w:pPr>
              <w:pStyle w:val="ConsPlusNormal"/>
              <w:jc w:val="right"/>
            </w:pPr>
            <w:r>
              <w:t>N 129-ЗКО</w:t>
            </w:r>
          </w:p>
        </w:tc>
      </w:tr>
    </w:tbl>
    <w:p w:rsidR="009B148E" w:rsidRDefault="009B1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48E" w:rsidRDefault="009B148E">
      <w:pPr>
        <w:pStyle w:val="ConsPlusNormal"/>
        <w:jc w:val="center"/>
      </w:pPr>
    </w:p>
    <w:p w:rsidR="009B148E" w:rsidRDefault="009B148E">
      <w:pPr>
        <w:pStyle w:val="ConsPlusTitle"/>
        <w:jc w:val="center"/>
      </w:pPr>
      <w:r>
        <w:t>КУРСКАЯ ОБЛАСТЬ</w:t>
      </w:r>
    </w:p>
    <w:p w:rsidR="009B148E" w:rsidRDefault="009B148E">
      <w:pPr>
        <w:pStyle w:val="ConsPlusTitle"/>
        <w:jc w:val="center"/>
      </w:pPr>
    </w:p>
    <w:p w:rsidR="009B148E" w:rsidRDefault="009B148E">
      <w:pPr>
        <w:pStyle w:val="ConsPlusTitle"/>
        <w:jc w:val="center"/>
      </w:pPr>
      <w:r>
        <w:t>ЗАКОН</w:t>
      </w:r>
    </w:p>
    <w:p w:rsidR="009B148E" w:rsidRDefault="009B148E">
      <w:pPr>
        <w:pStyle w:val="ConsPlusTitle"/>
        <w:jc w:val="center"/>
      </w:pPr>
    </w:p>
    <w:p w:rsidR="009B148E" w:rsidRDefault="009B148E">
      <w:pPr>
        <w:pStyle w:val="ConsPlusTitle"/>
        <w:jc w:val="center"/>
      </w:pPr>
      <w:r>
        <w:t>ОБ ИНВЕСТИЦИОННОМ НАЛОГОВОМ ВЫЧЕТЕ ПО НАЛОГУ НА ПРИБЫЛЬ</w:t>
      </w:r>
    </w:p>
    <w:p w:rsidR="009B148E" w:rsidRDefault="009B148E">
      <w:pPr>
        <w:pStyle w:val="ConsPlusTitle"/>
        <w:jc w:val="center"/>
      </w:pPr>
      <w:r>
        <w:t>ОРГАНИЗАЦИЙ НА ТЕРРИТОРИИ КУРСКОЙ ОБЛАСТИ</w:t>
      </w:r>
    </w:p>
    <w:p w:rsidR="009B148E" w:rsidRDefault="009B148E">
      <w:pPr>
        <w:pStyle w:val="ConsPlusNormal"/>
        <w:jc w:val="center"/>
      </w:pPr>
    </w:p>
    <w:p w:rsidR="009B148E" w:rsidRDefault="009B148E">
      <w:pPr>
        <w:pStyle w:val="ConsPlusNormal"/>
        <w:jc w:val="right"/>
      </w:pPr>
      <w:proofErr w:type="gramStart"/>
      <w:r>
        <w:t>Принят</w:t>
      </w:r>
      <w:proofErr w:type="gramEnd"/>
    </w:p>
    <w:p w:rsidR="009B148E" w:rsidRDefault="009B148E">
      <w:pPr>
        <w:pStyle w:val="ConsPlusNormal"/>
        <w:jc w:val="right"/>
      </w:pPr>
      <w:r>
        <w:t>Курской областной Думой</w:t>
      </w:r>
    </w:p>
    <w:p w:rsidR="009B148E" w:rsidRDefault="009B148E">
      <w:pPr>
        <w:pStyle w:val="ConsPlusNormal"/>
        <w:jc w:val="right"/>
      </w:pPr>
      <w:r>
        <w:t>6 декабря 2019 года</w:t>
      </w:r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Title"/>
        <w:ind w:firstLine="540"/>
        <w:jc w:val="both"/>
        <w:outlineLvl w:val="0"/>
      </w:pPr>
      <w:bookmarkStart w:id="0" w:name="P15"/>
      <w:bookmarkEnd w:id="0"/>
      <w:r>
        <w:t>Статья 1</w:t>
      </w:r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Normal"/>
        <w:ind w:firstLine="540"/>
        <w:jc w:val="both"/>
      </w:pPr>
      <w:proofErr w:type="gramStart"/>
      <w:r>
        <w:t xml:space="preserve">Установить право на применение инвестиционного налогового вычета в отношении расходов налогоплательщиков налога на прибыль организаций, указанных в </w:t>
      </w:r>
      <w:hyperlink r:id="rId5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6" w:history="1">
        <w:r>
          <w:rPr>
            <w:color w:val="0000FF"/>
          </w:rPr>
          <w:t>2 пункта 2 статьи 286.1</w:t>
        </w:r>
      </w:hyperlink>
      <w:r>
        <w:t xml:space="preserve"> Налогового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Курской области.</w:t>
      </w:r>
      <w:proofErr w:type="gramEnd"/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Title"/>
        <w:ind w:firstLine="540"/>
        <w:jc w:val="both"/>
        <w:outlineLvl w:val="0"/>
      </w:pPr>
      <w:r>
        <w:t>Статья 2</w:t>
      </w:r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Normal"/>
        <w:ind w:firstLine="540"/>
        <w:jc w:val="both"/>
      </w:pPr>
      <w:r>
        <w:t xml:space="preserve">1. Размер инвестиционного налогового вычета текущего налогового (отчетного) периода, </w:t>
      </w:r>
      <w:proofErr w:type="gramStart"/>
      <w:r>
        <w:t>право</w:t>
      </w:r>
      <w:proofErr w:type="gramEnd"/>
      <w:r>
        <w:t xml:space="preserve"> на применение которого предоставляется в соответствии со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Закона, составляет в совокупности:</w:t>
      </w:r>
    </w:p>
    <w:p w:rsidR="009B148E" w:rsidRDefault="009B148E">
      <w:pPr>
        <w:pStyle w:val="ConsPlusNormal"/>
        <w:spacing w:before="220"/>
        <w:ind w:firstLine="540"/>
        <w:jc w:val="both"/>
      </w:pPr>
      <w:r>
        <w:t xml:space="preserve">1) 90 процентов суммы расходов, составляющей первоначальную стоимость основного средства в соответствии с </w:t>
      </w:r>
      <w:hyperlink r:id="rId8" w:history="1">
        <w:r>
          <w:rPr>
            <w:color w:val="0000FF"/>
          </w:rPr>
          <w:t>абзацем вторым пункта 1 статьи 257</w:t>
        </w:r>
      </w:hyperlink>
      <w:r>
        <w:t xml:space="preserve"> Налогового кодекса Российской Федерации;</w:t>
      </w:r>
    </w:p>
    <w:p w:rsidR="009B148E" w:rsidRDefault="009B148E">
      <w:pPr>
        <w:pStyle w:val="ConsPlusNormal"/>
        <w:spacing w:before="220"/>
        <w:ind w:firstLine="540"/>
        <w:jc w:val="both"/>
      </w:pPr>
      <w:r>
        <w:t xml:space="preserve">2)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9" w:history="1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 Федерации (за исключением частичной ликвидации основного средства).</w:t>
      </w:r>
    </w:p>
    <w:p w:rsidR="009B148E" w:rsidRDefault="009B14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Налогоплательщикам предоставляется право на применение инвестиционного налогового вычета, предусмотренное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Закона, в отношении объектов основных средств, относящихся к третьей - седьмой амортизационным группам, по месту нахождения организации и (или) по месту нахождения ее обособленных подразделений, к которым относятся указанные объекты.</w:t>
      </w:r>
      <w:proofErr w:type="gramEnd"/>
    </w:p>
    <w:p w:rsidR="009B148E" w:rsidRDefault="009B148E">
      <w:pPr>
        <w:pStyle w:val="ConsPlusNormal"/>
        <w:spacing w:before="220"/>
        <w:ind w:firstLine="540"/>
        <w:jc w:val="both"/>
      </w:pPr>
      <w:r>
        <w:t xml:space="preserve">3. Размер налоговой ставки налога на прибыль организаций для определения предельной величины инвестиционного налогового вычета, </w:t>
      </w:r>
      <w:proofErr w:type="gramStart"/>
      <w:r>
        <w:t>право</w:t>
      </w:r>
      <w:proofErr w:type="gramEnd"/>
      <w:r>
        <w:t xml:space="preserve"> на применение которого предоставляется в соответствии со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Закона, составляет 8,5 процента.</w:t>
      </w:r>
    </w:p>
    <w:p w:rsidR="009B148E" w:rsidRDefault="009B148E">
      <w:pPr>
        <w:pStyle w:val="ConsPlusNormal"/>
        <w:spacing w:before="220"/>
        <w:ind w:firstLine="540"/>
        <w:jc w:val="both"/>
      </w:pPr>
      <w:r>
        <w:t xml:space="preserve">4. Для категории налогоплательщиков, указанной в </w:t>
      </w:r>
      <w:hyperlink w:anchor="P32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сумма расходов налогоплательщиков, указанных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1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превышающая в налоговом (отчетном) периоде предельную величину инвестиционного налогового вычета, </w:t>
      </w:r>
      <w:proofErr w:type="gramStart"/>
      <w:r>
        <w:t>право</w:t>
      </w:r>
      <w:proofErr w:type="gramEnd"/>
      <w:r>
        <w:t xml:space="preserve"> на применение которого предоставляется в соответствии со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Закона, не учитывается при определении такого инвестиционного налогового вычета в последующих налоговых (отчетных) </w:t>
      </w:r>
      <w:proofErr w:type="gramStart"/>
      <w:r>
        <w:t>периодах</w:t>
      </w:r>
      <w:proofErr w:type="gramEnd"/>
      <w:r>
        <w:t>.</w:t>
      </w:r>
    </w:p>
    <w:p w:rsidR="009B148E" w:rsidRDefault="009B148E">
      <w:pPr>
        <w:pStyle w:val="ConsPlusNormal"/>
        <w:spacing w:before="220"/>
        <w:ind w:firstLine="540"/>
        <w:jc w:val="both"/>
      </w:pPr>
      <w:r>
        <w:lastRenderedPageBreak/>
        <w:t xml:space="preserve">5. Для категории налогоплательщиков, указанной в </w:t>
      </w:r>
      <w:hyperlink w:anchor="P33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Закона, сумма расходов налогоплательщиков, указанных в </w:t>
      </w:r>
      <w:hyperlink r:id="rId12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3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превышающая в налоговом (отчетном) периоде предельную величину инвестиционного налогового вычета, </w:t>
      </w:r>
      <w:proofErr w:type="gramStart"/>
      <w:r>
        <w:t>право</w:t>
      </w:r>
      <w:proofErr w:type="gramEnd"/>
      <w:r>
        <w:t xml:space="preserve"> на применение которого предоставляется в соответствии со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Закона, учитывается при определении такого инвестиционного налогового вычета начиная </w:t>
      </w:r>
      <w:proofErr w:type="gramStart"/>
      <w:r>
        <w:t>с первого налогового (отчетного) периода, в котором получена прибыль, а также в четырех последующих налоговых (отчетных) периодах (итого - в пяти налоговых (отчетных) периодах).</w:t>
      </w:r>
      <w:proofErr w:type="gramEnd"/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Title"/>
        <w:ind w:firstLine="540"/>
        <w:jc w:val="both"/>
        <w:outlineLvl w:val="0"/>
      </w:pPr>
      <w:r>
        <w:t>Статья 3</w:t>
      </w:r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Normal"/>
        <w:ind w:firstLine="540"/>
        <w:jc w:val="both"/>
      </w:pPr>
      <w:bookmarkStart w:id="1" w:name="P31"/>
      <w:bookmarkEnd w:id="1"/>
      <w:r>
        <w:t xml:space="preserve">1. Право на применение инвестиционного налогового вычета, предусмотренное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Закона, предоставляется следующим категориям налогоплательщиков:</w:t>
      </w:r>
    </w:p>
    <w:p w:rsidR="009B148E" w:rsidRDefault="009B148E">
      <w:pPr>
        <w:pStyle w:val="ConsPlusNormal"/>
        <w:spacing w:before="220"/>
        <w:ind w:firstLine="540"/>
        <w:jc w:val="both"/>
      </w:pPr>
      <w:bookmarkStart w:id="2" w:name="P32"/>
      <w:bookmarkEnd w:id="2"/>
      <w:proofErr w:type="gramStart"/>
      <w:r>
        <w:t xml:space="preserve">1) организации, местом нахождения которых или местом нахождения обособленных подразделений которых является Курская область (независимо от даты регистрации организации или обособленного подразделения), реализующие на территории Курской области инвестиционные проекты, одобренные в порядке, установленном Администрацией Курской области, комиссией по оценке эффективности инвестиционных проектов, созданной на основании </w:t>
      </w:r>
      <w:hyperlink r:id="rId14" w:history="1">
        <w:r>
          <w:rPr>
            <w:color w:val="0000FF"/>
          </w:rPr>
          <w:t>Закона</w:t>
        </w:r>
      </w:hyperlink>
      <w:r>
        <w:t xml:space="preserve"> Курской области от 12 августа 2004 года N 37-ЗКО "Об инвестиционной деятельности в Курской</w:t>
      </w:r>
      <w:proofErr w:type="gramEnd"/>
      <w:r>
        <w:t xml:space="preserve"> </w:t>
      </w:r>
      <w:proofErr w:type="gramStart"/>
      <w:r>
        <w:t xml:space="preserve">области", направленные на развитие существующих производств, предусматривающие осуществление видов экономической деятельности, относящихся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</w:t>
      </w:r>
      <w:hyperlink r:id="rId16" w:history="1">
        <w:r>
          <w:rPr>
            <w:color w:val="0000FF"/>
          </w:rPr>
          <w:t>разделу C</w:t>
        </w:r>
      </w:hyperlink>
      <w:r>
        <w:t xml:space="preserve"> "Обрабатывающие производства": к группам </w:t>
      </w:r>
      <w:hyperlink r:id="rId17" w:history="1">
        <w:r>
          <w:rPr>
            <w:color w:val="0000FF"/>
          </w:rPr>
          <w:t>26.51</w:t>
        </w:r>
      </w:hyperlink>
      <w:r>
        <w:t xml:space="preserve"> "Производство инструментов и приборов для измерения, тестирования и навигации", </w:t>
      </w:r>
      <w:hyperlink r:id="rId18" w:history="1">
        <w:r>
          <w:rPr>
            <w:color w:val="0000FF"/>
          </w:rPr>
          <w:t>27.11</w:t>
        </w:r>
      </w:hyperlink>
      <w:r>
        <w:t xml:space="preserve"> "Производство электродвигателей, электрогенераторов и трансформаторов", </w:t>
      </w:r>
      <w:hyperlink r:id="rId19" w:history="1">
        <w:r>
          <w:rPr>
            <w:color w:val="0000FF"/>
          </w:rPr>
          <w:t>27.12</w:t>
        </w:r>
      </w:hyperlink>
      <w:r>
        <w:t xml:space="preserve"> "Производство электрической распределительной и регулирующей аппаратуры";</w:t>
      </w:r>
      <w:proofErr w:type="gramEnd"/>
    </w:p>
    <w:p w:rsidR="009B148E" w:rsidRDefault="009B148E">
      <w:pPr>
        <w:pStyle w:val="ConsPlusNormal"/>
        <w:spacing w:before="220"/>
        <w:ind w:firstLine="540"/>
        <w:jc w:val="both"/>
      </w:pPr>
      <w:bookmarkStart w:id="3" w:name="P33"/>
      <w:bookmarkEnd w:id="3"/>
      <w:proofErr w:type="gramStart"/>
      <w:r>
        <w:t xml:space="preserve">2) организации, местом нахождения которых или местом нахождения обособленных подразделений которых является Курская область, зарегистрированные после 1 января 2018 года, и реализующие на территории Курской области одобренные в порядке, установленном Администрацией Курской области, комиссией по оценке эффективности инвестиционных проектов, созданной на основании </w:t>
      </w:r>
      <w:hyperlink r:id="rId20" w:history="1">
        <w:r>
          <w:rPr>
            <w:color w:val="0000FF"/>
          </w:rPr>
          <w:t>Закона</w:t>
        </w:r>
      </w:hyperlink>
      <w:r>
        <w:t xml:space="preserve"> Курской области от 12 августа 2004 года N 37-ЗКО "Об инвестиционной деятельности в Курской области", инвестиционные проекты</w:t>
      </w:r>
      <w:proofErr w:type="gramEnd"/>
      <w:r>
        <w:t xml:space="preserve"> </w:t>
      </w:r>
      <w:proofErr w:type="gramStart"/>
      <w:r>
        <w:t xml:space="preserve">по строительству (созданию) новых предприятий (производств), предусматривающие осуществление видов экономической деятельности, относящихся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к </w:t>
      </w:r>
      <w:hyperlink r:id="rId22" w:history="1">
        <w:r>
          <w:rPr>
            <w:color w:val="0000FF"/>
          </w:rPr>
          <w:t>разделу C</w:t>
        </w:r>
      </w:hyperlink>
      <w:r>
        <w:t xml:space="preserve"> "Обрабатывающие производства": к группам </w:t>
      </w:r>
      <w:hyperlink r:id="rId23" w:history="1">
        <w:r>
          <w:rPr>
            <w:color w:val="0000FF"/>
          </w:rPr>
          <w:t>10.41</w:t>
        </w:r>
      </w:hyperlink>
      <w:r>
        <w:t xml:space="preserve"> "Производство масел и жиров", </w:t>
      </w:r>
      <w:hyperlink r:id="rId24" w:history="1">
        <w:r>
          <w:rPr>
            <w:color w:val="0000FF"/>
          </w:rPr>
          <w:t>20.15</w:t>
        </w:r>
      </w:hyperlink>
      <w:r>
        <w:t xml:space="preserve"> "Производство удобрений и азотных соединений", </w:t>
      </w:r>
      <w:hyperlink r:id="rId25" w:history="1">
        <w:r>
          <w:rPr>
            <w:color w:val="0000FF"/>
          </w:rPr>
          <w:t>20.60</w:t>
        </w:r>
      </w:hyperlink>
      <w:r>
        <w:t xml:space="preserve"> "Производство химических волокон".</w:t>
      </w:r>
      <w:proofErr w:type="gramEnd"/>
    </w:p>
    <w:p w:rsidR="009B148E" w:rsidRDefault="009B14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Налогоплательщикам, указанным в </w:t>
      </w:r>
      <w:hyperlink w:anchor="P31" w:history="1">
        <w:r>
          <w:rPr>
            <w:color w:val="0000FF"/>
          </w:rPr>
          <w:t>части 1</w:t>
        </w:r>
      </w:hyperlink>
      <w:r>
        <w:t xml:space="preserve"> настоящей статьи, получившим из областного бюджета субсидии на возмещение капитальных расходов (части капитальных расходов) на строительство (реконструкцию, создание, приобретение) объектов, относящихся к основным средствам, право на применение инвестиционного налогового вычета, предусмотренное </w:t>
      </w:r>
      <w:hyperlink w:anchor="P15" w:history="1">
        <w:r>
          <w:rPr>
            <w:color w:val="0000FF"/>
          </w:rPr>
          <w:t>статьей 1</w:t>
        </w:r>
      </w:hyperlink>
      <w:r>
        <w:t xml:space="preserve"> настоящего Закона, не предоставляется.</w:t>
      </w:r>
      <w:proofErr w:type="gramEnd"/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Title"/>
        <w:ind w:firstLine="540"/>
        <w:jc w:val="both"/>
        <w:outlineLvl w:val="0"/>
      </w:pPr>
      <w:r>
        <w:t>Статья 4</w:t>
      </w:r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Normal"/>
        <w:ind w:firstLine="540"/>
        <w:jc w:val="both"/>
      </w:pPr>
      <w:r>
        <w:t>Настоящий Закон вступает в силу 1 января 2020 года, но не ранее его официального опубликования.</w:t>
      </w:r>
    </w:p>
    <w:p w:rsidR="009B148E" w:rsidRDefault="009B148E">
      <w:pPr>
        <w:pStyle w:val="ConsPlusNormal"/>
        <w:ind w:firstLine="540"/>
        <w:jc w:val="both"/>
      </w:pPr>
    </w:p>
    <w:p w:rsidR="009B148E" w:rsidRDefault="009B148E">
      <w:pPr>
        <w:pStyle w:val="ConsPlusNormal"/>
        <w:jc w:val="right"/>
      </w:pPr>
      <w:r>
        <w:t>Губернатор</w:t>
      </w:r>
    </w:p>
    <w:p w:rsidR="009B148E" w:rsidRDefault="009B148E">
      <w:pPr>
        <w:pStyle w:val="ConsPlusNormal"/>
        <w:jc w:val="right"/>
      </w:pPr>
      <w:r>
        <w:t>Курской области</w:t>
      </w:r>
    </w:p>
    <w:p w:rsidR="009B148E" w:rsidRDefault="009B148E">
      <w:pPr>
        <w:pStyle w:val="ConsPlusNormal"/>
        <w:jc w:val="right"/>
      </w:pPr>
      <w:r>
        <w:t>Р.В.СТАРОВОЙТ</w:t>
      </w:r>
    </w:p>
    <w:p w:rsidR="009B148E" w:rsidRDefault="009B148E">
      <w:pPr>
        <w:pStyle w:val="ConsPlusNormal"/>
        <w:ind w:firstLine="540"/>
        <w:jc w:val="both"/>
      </w:pPr>
      <w:r>
        <w:lastRenderedPageBreak/>
        <w:t>г. Курск</w:t>
      </w:r>
    </w:p>
    <w:p w:rsidR="009B148E" w:rsidRDefault="009B148E">
      <w:pPr>
        <w:pStyle w:val="ConsPlusNormal"/>
        <w:spacing w:before="220"/>
        <w:ind w:firstLine="540"/>
        <w:jc w:val="both"/>
      </w:pPr>
      <w:r>
        <w:t>11 декабря 2019 г.</w:t>
      </w:r>
    </w:p>
    <w:p w:rsidR="009B148E" w:rsidRDefault="009B148E">
      <w:pPr>
        <w:pStyle w:val="ConsPlusNormal"/>
        <w:spacing w:before="220"/>
        <w:ind w:firstLine="540"/>
        <w:jc w:val="both"/>
      </w:pPr>
      <w:r>
        <w:t>N 129 - ЗКО</w:t>
      </w:r>
    </w:p>
    <w:p w:rsidR="009B148E" w:rsidRDefault="009B148E">
      <w:pPr>
        <w:pStyle w:val="ConsPlusNormal"/>
        <w:jc w:val="both"/>
      </w:pPr>
    </w:p>
    <w:p w:rsidR="009B148E" w:rsidRDefault="009B148E">
      <w:pPr>
        <w:pStyle w:val="ConsPlusNormal"/>
        <w:jc w:val="both"/>
      </w:pPr>
    </w:p>
    <w:p w:rsidR="009B148E" w:rsidRDefault="009B1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58" w:rsidRDefault="00B76E58"/>
    <w:sectPr w:rsidR="00B76E58" w:rsidSect="00CB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148E"/>
    <w:rsid w:val="001B3942"/>
    <w:rsid w:val="00445AF2"/>
    <w:rsid w:val="009B148E"/>
    <w:rsid w:val="00A348BB"/>
    <w:rsid w:val="00B76E58"/>
    <w:rsid w:val="00D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48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48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48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EF54F8ECB5CF7E68E45062474A9E034F07BD15B02EFF6701F0ED27AAF239CC177EAA4DF35C9EEEB877649F3F37D78C049420D07FB7DxCM" TargetMode="External"/><Relationship Id="rId13" Type="http://schemas.openxmlformats.org/officeDocument/2006/relationships/hyperlink" Target="consultantplus://offline/ref=397EF54F8ECB5CF7E68E45062474A9E034F07BD15B02EFF6701F0ED27AAF239CC177EAA1DA32C8ECB4826358ABFC7F66DE4B5E1105F9DF76x2M" TargetMode="External"/><Relationship Id="rId18" Type="http://schemas.openxmlformats.org/officeDocument/2006/relationships/hyperlink" Target="consultantplus://offline/ref=397EF54F8ECB5CF7E68E45062474A9E034F07BD95601EFF6701F0ED27AAF239CC177EAA1DD30C8E6BDDD664DBAA47064C0555C0D19FBDD617BxD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7EF54F8ECB5CF7E68E45062474A9E034F07BD95601EFF6701F0ED27AAF239CD377B2ADDF32D7E5BDC8301CFC7Fx0M" TargetMode="External"/><Relationship Id="rId7" Type="http://schemas.openxmlformats.org/officeDocument/2006/relationships/hyperlink" Target="consultantplus://offline/ref=397EF54F8ECB5CF7E68E45062474A9E034F07BD15B02EFF6701F0ED27AAF239CC177EAA1DA35CAE3B4826358ABFC7F66DE4B5E1105F9DF76x2M" TargetMode="External"/><Relationship Id="rId12" Type="http://schemas.openxmlformats.org/officeDocument/2006/relationships/hyperlink" Target="consultantplus://offline/ref=397EF54F8ECB5CF7E68E45062474A9E034F07BD15B02EFF6701F0ED27AAF239CC177EAA1DA32C8EDB4826358ABFC7F66DE4B5E1105F9DF76x2M" TargetMode="External"/><Relationship Id="rId17" Type="http://schemas.openxmlformats.org/officeDocument/2006/relationships/hyperlink" Target="consultantplus://offline/ref=397EF54F8ECB5CF7E68E45062474A9E034F07BD95601EFF6701F0ED27AAF239CC177EAA1DD37C1ECB9DD664DBAA47064C0555C0D19FBDD617BxDM" TargetMode="External"/><Relationship Id="rId25" Type="http://schemas.openxmlformats.org/officeDocument/2006/relationships/hyperlink" Target="consultantplus://offline/ref=397EF54F8ECB5CF7E68E45062474A9E034F07BD95601EFF6701F0ED27AAF239CC177EAA1DD33CCE3BEDD664DBAA47064C0555C0D19FBDD617Bx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7EF54F8ECB5CF7E68E45062474A9E034F07BD95601EFF6701F0ED27AAF239CC177EAA1DD32CEE4BEDD664DBAA47064C0555C0D19FBDD617BxDM" TargetMode="External"/><Relationship Id="rId20" Type="http://schemas.openxmlformats.org/officeDocument/2006/relationships/hyperlink" Target="consultantplus://offline/ref=397EF54F8ECB5CF7E68E45102718F3EC30FC24D5570DEDA52D40558F2DA629CB8638B3F19967C4E7BFC8321EE0F37D647Cx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EF54F8ECB5CF7E68E45062474A9E034F07BD15B02EFF6701F0ED27AAF239CC177EAA1DA32C8ECB4826358ABFC7F66DE4B5E1105F9DF76x2M" TargetMode="External"/><Relationship Id="rId11" Type="http://schemas.openxmlformats.org/officeDocument/2006/relationships/hyperlink" Target="consultantplus://offline/ref=397EF54F8ECB5CF7E68E45062474A9E034F07BD15B02EFF6701F0ED27AAF239CC177EAA1DA32C8ECB4826358ABFC7F66DE4B5E1105F9DF76x2M" TargetMode="External"/><Relationship Id="rId24" Type="http://schemas.openxmlformats.org/officeDocument/2006/relationships/hyperlink" Target="consultantplus://offline/ref=397EF54F8ECB5CF7E68E45062474A9E034F07BD95601EFF6701F0ED27AAF239CC177EAA1DD33CDEDB6DD664DBAA47064C0555C0D19FBDD617BxDM" TargetMode="External"/><Relationship Id="rId5" Type="http://schemas.openxmlformats.org/officeDocument/2006/relationships/hyperlink" Target="consultantplus://offline/ref=397EF54F8ECB5CF7E68E45062474A9E034F07BD15B02EFF6701F0ED27AAF239CC177EAA1DA32C8EDB4826358ABFC7F66DE4B5E1105F9DF76x2M" TargetMode="External"/><Relationship Id="rId15" Type="http://schemas.openxmlformats.org/officeDocument/2006/relationships/hyperlink" Target="consultantplus://offline/ref=397EF54F8ECB5CF7E68E45062474A9E034F07BD95601EFF6701F0ED27AAF239CD377B2ADDF32D7E5BDC8301CFC7Fx0M" TargetMode="External"/><Relationship Id="rId23" Type="http://schemas.openxmlformats.org/officeDocument/2006/relationships/hyperlink" Target="consultantplus://offline/ref=397EF54F8ECB5CF7E68E45062474A9E034F07BD95601EFF6701F0ED27AAF239CC177EAA1DD32CEECBADD664DBAA47064C0555C0D19FBDD617BxDM" TargetMode="External"/><Relationship Id="rId10" Type="http://schemas.openxmlformats.org/officeDocument/2006/relationships/hyperlink" Target="consultantplus://offline/ref=397EF54F8ECB5CF7E68E45062474A9E034F07BD15B02EFF6701F0ED27AAF239CC177EAA1DA32C8EDB4826358ABFC7F66DE4B5E1105F9DF76x2M" TargetMode="External"/><Relationship Id="rId19" Type="http://schemas.openxmlformats.org/officeDocument/2006/relationships/hyperlink" Target="consultantplus://offline/ref=397EF54F8ECB5CF7E68E45062474A9E034F07BD95601EFF6701F0ED27AAF239CC177EAA1DD30C8E1BDDD664DBAA47064C0555C0D19FBDD617Bx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7EF54F8ECB5CF7E68E45062474A9E034F07BD15B02EFF6701F0ED27AAF239CC177EAA1DD30C9EDBEDD664DBAA47064C0555C0D19FBDD617BxDM" TargetMode="External"/><Relationship Id="rId14" Type="http://schemas.openxmlformats.org/officeDocument/2006/relationships/hyperlink" Target="consultantplus://offline/ref=397EF54F8ECB5CF7E68E45102718F3EC30FC24D5570DEDA52D40558F2DA629CB8638B3F19967C4E7BFC8321EE0F37D647Cx1M" TargetMode="External"/><Relationship Id="rId22" Type="http://schemas.openxmlformats.org/officeDocument/2006/relationships/hyperlink" Target="consultantplus://offline/ref=397EF54F8ECB5CF7E68E45062474A9E034F07BD95601EFF6701F0ED27AAF239CC177EAA1DD32CEE4BEDD664DBAA47064C0555C0D19FBDD617Bx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2021-02-20T12:49:00Z</dcterms:created>
  <dcterms:modified xsi:type="dcterms:W3CDTF">2021-02-20T12:50:00Z</dcterms:modified>
</cp:coreProperties>
</file>